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实验室废水处理实训系统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2023年</w:t>
      </w:r>
      <w:r>
        <w:rPr>
          <w:rFonts w:hint="eastAsia"/>
          <w:b/>
          <w:bCs/>
          <w:color w:val="000000"/>
          <w:sz w:val="32"/>
          <w:lang w:val="en-US" w:eastAsia="zh-CN"/>
        </w:rPr>
        <w:t>11</w:t>
      </w:r>
      <w:r>
        <w:rPr>
          <w:b/>
          <w:bCs/>
          <w:color w:val="000000"/>
          <w:sz w:val="32"/>
        </w:rPr>
        <w:t>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目录</w:t>
      </w:r>
    </w:p>
    <w:p>
      <w:pPr>
        <w:rPr>
          <w:bCs/>
          <w:color w:val="000000"/>
          <w:sz w:val="32"/>
          <w:szCs w:val="36"/>
        </w:rPr>
      </w:pPr>
    </w:p>
    <w:p>
      <w:pPr>
        <w:rPr>
          <w:bCs/>
          <w:color w:val="000000"/>
          <w:sz w:val="32"/>
          <w:szCs w:val="36"/>
        </w:rPr>
      </w:pPr>
      <w:r>
        <w:rPr>
          <w:bCs/>
          <w:color w:val="000000"/>
          <w:sz w:val="32"/>
          <w:szCs w:val="36"/>
        </w:rPr>
        <w:t>第一章</w:t>
      </w:r>
      <w:r>
        <w:rPr>
          <w:rFonts w:hint="eastAsia"/>
          <w:bCs/>
          <w:color w:val="000000"/>
          <w:sz w:val="32"/>
          <w:szCs w:val="36"/>
        </w:rPr>
        <w:t xml:space="preserve"> </w:t>
      </w:r>
      <w:r>
        <w:rPr>
          <w:bCs/>
          <w:color w:val="000000"/>
          <w:sz w:val="32"/>
          <w:szCs w:val="36"/>
        </w:rPr>
        <w:t>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w:t>
      </w:r>
      <w:r>
        <w:rPr>
          <w:rFonts w:hint="eastAsia"/>
          <w:bCs/>
          <w:color w:val="000000"/>
          <w:sz w:val="32"/>
          <w:szCs w:val="36"/>
        </w:rPr>
        <w:t xml:space="preserve"> </w:t>
      </w:r>
      <w:r>
        <w:rPr>
          <w:bCs/>
          <w:color w:val="000000"/>
          <w:sz w:val="32"/>
          <w:szCs w:val="36"/>
        </w:rPr>
        <w:t>投标须知</w:t>
      </w:r>
      <w:r>
        <w:rPr>
          <w:color w:val="000000"/>
          <w:sz w:val="32"/>
        </w:rPr>
        <w:t>…………………………………………6</w:t>
      </w:r>
    </w:p>
    <w:p>
      <w:pPr>
        <w:rPr>
          <w:bCs/>
          <w:color w:val="000000"/>
          <w:sz w:val="32"/>
        </w:rPr>
      </w:pPr>
    </w:p>
    <w:p>
      <w:pPr>
        <w:rPr>
          <w:bCs/>
          <w:color w:val="000000"/>
          <w:sz w:val="32"/>
        </w:rPr>
      </w:pPr>
      <w:r>
        <w:rPr>
          <w:bCs/>
          <w:color w:val="000000"/>
          <w:sz w:val="32"/>
        </w:rPr>
        <w:t>第三章</w:t>
      </w:r>
      <w:r>
        <w:rPr>
          <w:rFonts w:hint="eastAsia"/>
          <w:bCs/>
          <w:color w:val="000000"/>
          <w:sz w:val="32"/>
        </w:rPr>
        <w:t xml:space="preserve"> </w:t>
      </w:r>
      <w:r>
        <w:rPr>
          <w:bCs/>
          <w:color w:val="000000"/>
          <w:sz w:val="32"/>
        </w:rPr>
        <w:t>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w:t>
      </w:r>
      <w:r>
        <w:rPr>
          <w:rFonts w:hint="eastAsia"/>
          <w:bCs/>
          <w:color w:val="000000"/>
          <w:sz w:val="32"/>
        </w:rPr>
        <w:t xml:space="preserve"> </w:t>
      </w:r>
      <w:r>
        <w:rPr>
          <w:bCs/>
          <w:color w:val="000000"/>
          <w:sz w:val="32"/>
        </w:rPr>
        <w:t>合同主要条款</w:t>
      </w:r>
      <w:r>
        <w:rPr>
          <w:color w:val="000000"/>
          <w:sz w:val="32"/>
        </w:rPr>
        <w:t>……………………………………</w:t>
      </w:r>
      <w:r>
        <w:rPr>
          <w:rFonts w:hint="eastAsia"/>
          <w:color w:val="000000"/>
          <w:sz w:val="32"/>
        </w:rPr>
        <w:t>3</w:t>
      </w:r>
      <w:r>
        <w:rPr>
          <w:rFonts w:hint="eastAsia"/>
          <w:color w:val="000000"/>
          <w:sz w:val="32"/>
          <w:lang w:val="en-US" w:eastAsia="zh-CN"/>
        </w:rPr>
        <w:t>7</w:t>
      </w:r>
    </w:p>
    <w:p>
      <w:pPr>
        <w:rPr>
          <w:bCs/>
          <w:color w:val="000000"/>
          <w:sz w:val="32"/>
        </w:rPr>
      </w:pPr>
    </w:p>
    <w:p>
      <w:pPr>
        <w:rPr>
          <w:rFonts w:hint="eastAsia" w:eastAsia="宋体"/>
          <w:bCs/>
          <w:color w:val="000000"/>
          <w:sz w:val="32"/>
          <w:lang w:val="en-US" w:eastAsia="zh-CN"/>
        </w:rPr>
      </w:pPr>
      <w:r>
        <w:rPr>
          <w:bCs/>
          <w:color w:val="000000"/>
          <w:sz w:val="32"/>
        </w:rPr>
        <w:t>第五章</w:t>
      </w:r>
      <w:r>
        <w:rPr>
          <w:rFonts w:hint="eastAsia"/>
          <w:bCs/>
          <w:color w:val="000000"/>
          <w:sz w:val="32"/>
        </w:rPr>
        <w:t xml:space="preserve"> </w:t>
      </w:r>
      <w:r>
        <w:rPr>
          <w:bCs/>
          <w:color w:val="000000"/>
          <w:sz w:val="32"/>
        </w:rPr>
        <w:t>评标办法及开标程序</w:t>
      </w:r>
      <w:r>
        <w:rPr>
          <w:color w:val="000000"/>
          <w:sz w:val="32"/>
        </w:rPr>
        <w:t>……………………………</w:t>
      </w:r>
      <w:r>
        <w:rPr>
          <w:rFonts w:hint="eastAsia"/>
          <w:color w:val="000000"/>
          <w:sz w:val="32"/>
        </w:rPr>
        <w:t>4</w:t>
      </w:r>
      <w:r>
        <w:rPr>
          <w:rFonts w:hint="eastAsia"/>
          <w:color w:val="000000"/>
          <w:sz w:val="32"/>
          <w:lang w:val="en-US" w:eastAsia="zh-CN"/>
        </w:rPr>
        <w:t>2</w:t>
      </w:r>
    </w:p>
    <w:p>
      <w:pPr>
        <w:rPr>
          <w:bCs/>
          <w:color w:val="000000"/>
          <w:sz w:val="32"/>
        </w:rPr>
      </w:pPr>
    </w:p>
    <w:p>
      <w:pPr>
        <w:rPr>
          <w:rFonts w:hint="eastAsia" w:eastAsia="宋体"/>
          <w:color w:val="000000"/>
          <w:sz w:val="28"/>
          <w:lang w:val="en-US" w:eastAsia="zh-CN"/>
        </w:rPr>
      </w:pPr>
      <w:r>
        <w:rPr>
          <w:bCs/>
          <w:color w:val="000000"/>
          <w:sz w:val="32"/>
        </w:rPr>
        <w:t>第六章</w:t>
      </w:r>
      <w:r>
        <w:rPr>
          <w:rFonts w:hint="eastAsia"/>
          <w:bCs/>
          <w:color w:val="000000"/>
          <w:sz w:val="32"/>
        </w:rPr>
        <w:t xml:space="preserve"> </w:t>
      </w:r>
      <w:r>
        <w:rPr>
          <w:bCs/>
          <w:color w:val="000000"/>
          <w:sz w:val="32"/>
        </w:rPr>
        <w:t>应提交的有关材料格式范例</w:t>
      </w:r>
      <w:r>
        <w:rPr>
          <w:color w:val="000000"/>
          <w:sz w:val="32"/>
        </w:rPr>
        <w:t>……………………</w:t>
      </w:r>
      <w:r>
        <w:rPr>
          <w:rFonts w:hint="eastAsia"/>
          <w:color w:val="000000"/>
          <w:sz w:val="32"/>
        </w:rPr>
        <w:t>4</w:t>
      </w:r>
      <w:r>
        <w:rPr>
          <w:rFonts w:hint="eastAsia"/>
          <w:color w:val="000000"/>
          <w:sz w:val="32"/>
          <w:lang w:val="en-US" w:eastAsia="zh-CN"/>
        </w:rPr>
        <w:t>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2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实验室废水处理实训系统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20" w:lineRule="exact"/>
        <w:ind w:firstLine="495"/>
        <w:rPr>
          <w:rFonts w:hint="eastAsia" w:ascii="宋体" w:hAnsi="宋体" w:eastAsia="宋体" w:cs="宋体"/>
          <w:b/>
          <w:color w:val="000000"/>
          <w:sz w:val="24"/>
          <w:lang w:eastAsia="zh-CN"/>
        </w:rPr>
      </w:pPr>
      <w:r>
        <w:rPr>
          <w:rFonts w:hint="eastAsia" w:ascii="宋体" w:hAnsi="宋体" w:cs="宋体"/>
          <w:b/>
          <w:bCs/>
          <w:color w:val="000000"/>
          <w:sz w:val="24"/>
        </w:rPr>
        <w:t>一、项</w:t>
      </w:r>
      <w:r>
        <w:rPr>
          <w:rFonts w:hint="eastAsia" w:ascii="宋体" w:hAnsi="宋体" w:cs="宋体"/>
          <w:b/>
          <w:color w:val="000000"/>
          <w:sz w:val="24"/>
        </w:rPr>
        <w:t>目编号：衢院招2023-07</w:t>
      </w:r>
      <w:r>
        <w:rPr>
          <w:rFonts w:hint="eastAsia" w:ascii="宋体" w:hAnsi="宋体" w:cs="宋体"/>
          <w:b/>
          <w:color w:val="000000"/>
          <w:sz w:val="24"/>
          <w:lang w:eastAsia="zh-CN"/>
        </w:rPr>
        <w:t>（</w:t>
      </w:r>
      <w:r>
        <w:rPr>
          <w:rFonts w:hint="eastAsia" w:ascii="宋体" w:hAnsi="宋体" w:cs="宋体"/>
          <w:b/>
          <w:color w:val="000000"/>
          <w:sz w:val="24"/>
          <w:lang w:val="en-US" w:eastAsia="zh-CN"/>
        </w:rPr>
        <w:t>第二次</w:t>
      </w:r>
      <w:r>
        <w:rPr>
          <w:rFonts w:hint="eastAsia" w:ascii="宋体" w:hAnsi="宋体" w:cs="宋体"/>
          <w:b/>
          <w:color w:val="000000"/>
          <w:sz w:val="24"/>
          <w:lang w:eastAsia="zh-CN"/>
        </w:rPr>
        <w:t>）</w:t>
      </w:r>
    </w:p>
    <w:p>
      <w:pPr>
        <w:keepNext w:val="0"/>
        <w:keepLines w:val="0"/>
        <w:pageBreakBefore w:val="0"/>
        <w:kinsoku/>
        <w:wordWrap/>
        <w:topLinePunct w:val="0"/>
        <w:bidi w:val="0"/>
        <w:spacing w:line="420" w:lineRule="exact"/>
        <w:ind w:firstLine="495"/>
        <w:rPr>
          <w:rFonts w:ascii="宋体" w:hAnsi="宋体" w:cs="宋体"/>
          <w:b/>
          <w:color w:val="000000"/>
          <w:sz w:val="24"/>
        </w:rPr>
      </w:pPr>
      <w:r>
        <w:rPr>
          <w:rFonts w:hint="eastAsia" w:ascii="宋体" w:hAnsi="宋体" w:cs="宋体"/>
          <w:b/>
          <w:color w:val="000000"/>
          <w:sz w:val="24"/>
        </w:rPr>
        <w:t>二、项目名称：实验室废水处理实训系统</w:t>
      </w:r>
    </w:p>
    <w:p>
      <w:pPr>
        <w:keepNext w:val="0"/>
        <w:keepLines w:val="0"/>
        <w:pageBreakBefore w:val="0"/>
        <w:kinsoku/>
        <w:wordWrap/>
        <w:topLinePunct w:val="0"/>
        <w:bidi w:val="0"/>
        <w:spacing w:line="42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highlight w:val="red"/>
              </w:rPr>
            </w:pPr>
            <w:r>
              <w:rPr>
                <w:rFonts w:hint="eastAsia" w:ascii="宋体" w:hAnsi="宋体" w:cs="宋体"/>
                <w:b/>
                <w:color w:val="000000"/>
                <w:sz w:val="24"/>
              </w:rPr>
              <w:t>实验室废水处理实训系统</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ascii="宋体" w:hAnsi="宋体" w:cs="宋体"/>
                <w:color w:val="000000"/>
                <w:kern w:val="0"/>
                <w:sz w:val="24"/>
                <w:highlight w:val="red"/>
              </w:rPr>
            </w:pPr>
            <w:r>
              <w:rPr>
                <w:rFonts w:hint="eastAsia" w:ascii="宋体" w:hAnsi="宋体" w:cs="宋体"/>
                <w:color w:val="000000"/>
                <w:kern w:val="0"/>
                <w:sz w:val="24"/>
              </w:rPr>
              <w:t>312</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ascii="宋体" w:hAnsi="宋体" w:cs="宋体"/>
                <w:color w:val="000000"/>
                <w:sz w:val="24"/>
              </w:rPr>
            </w:pPr>
            <w:r>
              <w:rPr>
                <w:rFonts w:hint="eastAsia" w:ascii="宋体" w:hAnsi="宋体" w:cs="宋体"/>
                <w:color w:val="000000"/>
                <w:sz w:val="24"/>
              </w:rPr>
              <w:t>以招标文件第三章</w:t>
            </w:r>
          </w:p>
          <w:p>
            <w:pPr>
              <w:keepNext w:val="0"/>
              <w:keepLines w:val="0"/>
              <w:pageBreakBefore w:val="0"/>
              <w:widowControl/>
              <w:kinsoku/>
              <w:wordWrap/>
              <w:topLinePunct w:val="0"/>
              <w:bidi w:val="0"/>
              <w:spacing w:line="420" w:lineRule="exact"/>
              <w:jc w:val="center"/>
              <w:rPr>
                <w:rFonts w:ascii="宋体" w:hAnsi="宋体" w:cs="宋体"/>
                <w:color w:val="000000"/>
                <w:highlight w:val="red"/>
              </w:rPr>
            </w:pPr>
            <w:r>
              <w:rPr>
                <w:rFonts w:hint="eastAsia" w:ascii="宋体" w:hAnsi="宋体" w:cs="宋体"/>
                <w:color w:val="000000"/>
                <w:sz w:val="24"/>
              </w:rPr>
              <w:t>要求为准</w:t>
            </w:r>
          </w:p>
        </w:tc>
      </w:tr>
    </w:tbl>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kinsoku/>
        <w:wordWrap/>
        <w:topLinePunct w:val="0"/>
        <w:bidi w:val="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kinsoku/>
        <w:wordWrap/>
        <w:topLinePunct w:val="0"/>
        <w:bidi w:val="0"/>
        <w:spacing w:before="0" w:beforeAutospacing="0" w:after="0" w:afterAutospacing="0" w:line="420" w:lineRule="exact"/>
        <w:rPr>
          <w:rFonts w:cs="宋体"/>
          <w:color w:val="000000"/>
        </w:rPr>
      </w:pPr>
      <w:r>
        <w:rPr>
          <w:rFonts w:hint="eastAsia" w:cs="宋体"/>
          <w:color w:val="000000"/>
        </w:rPr>
        <w:t>   2.落实政府采购政策需满足的资格要求：供应商为</w:t>
      </w:r>
      <w:r>
        <w:rPr>
          <w:rFonts w:hint="eastAsia" w:cs="宋体"/>
        </w:rPr>
        <w:t>中</w:t>
      </w:r>
      <w:r>
        <w:rPr>
          <w:rFonts w:hint="eastAsia"/>
        </w:rPr>
        <w:t>小微企业、监狱或戒毒企业、残疾人福利性单位</w:t>
      </w:r>
      <w:r>
        <w:rPr>
          <w:rFonts w:hint="eastAsia" w:cs="宋体"/>
          <w:color w:val="000000"/>
        </w:rPr>
        <w:t>。</w:t>
      </w:r>
    </w:p>
    <w:p>
      <w:pPr>
        <w:pStyle w:val="15"/>
        <w:keepNext w:val="0"/>
        <w:keepLines w:val="0"/>
        <w:pageBreakBefore w:val="0"/>
        <w:kinsoku/>
        <w:wordWrap/>
        <w:topLinePunct w:val="0"/>
        <w:bidi w:val="0"/>
        <w:spacing w:before="0" w:beforeAutospacing="0" w:after="0" w:afterAutospacing="0" w:line="420" w:lineRule="exact"/>
        <w:rPr>
          <w:rFonts w:cs="宋体"/>
        </w:rPr>
      </w:pPr>
      <w:r>
        <w:rPr>
          <w:rFonts w:hint="eastAsia" w:cs="宋体"/>
          <w:color w:val="000000"/>
        </w:rPr>
        <w:t>   3.本项目的特定资格要求：无</w:t>
      </w:r>
      <w:r>
        <w:rPr>
          <w:rFonts w:hint="eastAsia" w:cs="宋体"/>
        </w:rPr>
        <w:t>。</w:t>
      </w:r>
    </w:p>
    <w:p>
      <w:pPr>
        <w:keepNext w:val="0"/>
        <w:keepLines w:val="0"/>
        <w:pageBreakBefore w:val="0"/>
        <w:kinsoku/>
        <w:wordWrap/>
        <w:topLinePunct w:val="0"/>
        <w:bidi w:val="0"/>
        <w:spacing w:line="4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4.本项目（是）接受联合体投标。 </w:t>
      </w:r>
    </w:p>
    <w:p>
      <w:pPr>
        <w:keepNext w:val="0"/>
        <w:keepLines w:val="0"/>
        <w:pageBreakBefore w:val="0"/>
        <w:kinsoku/>
        <w:wordWrap/>
        <w:topLinePunct w:val="0"/>
        <w:bidi w:val="0"/>
        <w:spacing w:line="42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20" w:lineRule="exact"/>
        <w:ind w:firstLine="480" w:firstLineChars="200"/>
        <w:rPr>
          <w:sz w:val="24"/>
        </w:rPr>
      </w:pPr>
      <w:r>
        <w:rPr>
          <w:rFonts w:hint="eastAsia"/>
          <w:sz w:val="24"/>
        </w:rPr>
        <w:t>1.时间：/至202</w:t>
      </w:r>
      <w:r>
        <w:rPr>
          <w:sz w:val="24"/>
        </w:rPr>
        <w:t>3</w:t>
      </w:r>
      <w:r>
        <w:rPr>
          <w:rFonts w:hint="eastAsia"/>
          <w:sz w:val="24"/>
        </w:rPr>
        <w:t>年</w:t>
      </w:r>
      <w:r>
        <w:rPr>
          <w:rFonts w:hint="eastAsia"/>
          <w:sz w:val="24"/>
          <w:lang w:val="en-US" w:eastAsia="zh-CN"/>
        </w:rPr>
        <w:t>12</w:t>
      </w:r>
      <w:r>
        <w:rPr>
          <w:rFonts w:hint="eastAsia"/>
          <w:sz w:val="24"/>
        </w:rPr>
        <w:t>月</w:t>
      </w:r>
      <w:r>
        <w:rPr>
          <w:rFonts w:hint="eastAsia"/>
          <w:sz w:val="24"/>
          <w:lang w:val="en-US" w:eastAsia="zh-CN"/>
        </w:rPr>
        <w:t>14</w:t>
      </w:r>
      <w:r>
        <w:rPr>
          <w:rFonts w:hint="eastAsia"/>
          <w:sz w:val="24"/>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20" w:lineRule="exact"/>
        <w:ind w:firstLine="480" w:firstLineChars="200"/>
        <w:rPr>
          <w:sz w:val="24"/>
        </w:rPr>
      </w:pPr>
      <w:r>
        <w:rPr>
          <w:rFonts w:hint="eastAsia"/>
          <w:sz w:val="24"/>
        </w:rPr>
        <w:t>2.地点（网址）：政采云平台https://www.zcygov.cn/</w:t>
      </w:r>
    </w:p>
    <w:p>
      <w:pPr>
        <w:keepNext w:val="0"/>
        <w:keepLines w:val="0"/>
        <w:pageBreakBefore w:val="0"/>
        <w:tabs>
          <w:tab w:val="left" w:pos="2366"/>
        </w:tabs>
        <w:kinsoku/>
        <w:wordWrap/>
        <w:topLinePunct w:val="0"/>
        <w:bidi w:val="0"/>
        <w:spacing w:line="420" w:lineRule="exact"/>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w:t>
      </w:r>
    </w:p>
    <w:p>
      <w:pPr>
        <w:keepNext w:val="0"/>
        <w:keepLines w:val="0"/>
        <w:pageBreakBefore w:val="0"/>
        <w:tabs>
          <w:tab w:val="left" w:pos="2366"/>
        </w:tabs>
        <w:kinsoku/>
        <w:wordWrap/>
        <w:topLinePunct w:val="0"/>
        <w:bidi w:val="0"/>
        <w:spacing w:line="420" w:lineRule="exact"/>
        <w:ind w:firstLine="480" w:firstLineChars="200"/>
        <w:rPr>
          <w:sz w:val="24"/>
        </w:rPr>
      </w:pPr>
      <w:r>
        <w:rPr>
          <w:rFonts w:hint="eastAsia"/>
          <w:sz w:val="24"/>
        </w:rPr>
        <w:t>4.售价（元）：0</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rPr>
      </w:pPr>
      <w:r>
        <w:rPr>
          <w:rFonts w:hint="eastAsia" w:cs="宋体"/>
          <w:b/>
          <w:color w:val="000000"/>
        </w:rPr>
        <w:t>六、投标说明</w:t>
      </w:r>
    </w:p>
    <w:p>
      <w:pPr>
        <w:keepNext w:val="0"/>
        <w:keepLines w:val="0"/>
        <w:pageBreakBefore w:val="0"/>
        <w:kinsoku/>
        <w:wordWrap/>
        <w:topLinePunct w:val="0"/>
        <w:bidi w:val="0"/>
        <w:snapToGrid w:val="0"/>
        <w:spacing w:line="420" w:lineRule="exact"/>
        <w:ind w:firstLine="480" w:firstLineChars="200"/>
        <w:rPr>
          <w:rFonts w:ascii="宋体" w:hAnsi="宋体" w:cs="宋体"/>
          <w:sz w:val="24"/>
        </w:rPr>
      </w:pPr>
      <w:r>
        <w:rPr>
          <w:rFonts w:hint="eastAsia" w:ascii="宋体" w:hAnsi="宋体" w:cs="宋体"/>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cs="宋体"/>
          <w:color w:val="FF0000"/>
          <w:sz w:val="24"/>
          <w:highlight w:val="yellow"/>
        </w:rPr>
        <w:t>政采云服务热线：95763。</w:t>
      </w:r>
    </w:p>
    <w:p>
      <w:pPr>
        <w:keepNext w:val="0"/>
        <w:keepLines w:val="0"/>
        <w:pageBreakBefore w:val="0"/>
        <w:kinsoku/>
        <w:wordWrap/>
        <w:topLinePunct w:val="0"/>
        <w:bidi w:val="0"/>
        <w:snapToGrid w:val="0"/>
        <w:spacing w:line="420" w:lineRule="exact"/>
        <w:ind w:firstLine="480" w:firstLineChars="200"/>
        <w:rPr>
          <w:rFonts w:ascii="宋体" w:hAnsi="宋体" w:cs="宋体"/>
          <w:color w:val="FF0000"/>
          <w:sz w:val="24"/>
          <w:highlight w:val="yellow"/>
        </w:rPr>
      </w:pPr>
      <w:r>
        <w:rPr>
          <w:rFonts w:hint="eastAsia" w:ascii="宋体" w:hAnsi="宋体" w:cs="宋体"/>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”进行查阅。完成CA数字证书办理预计一周左右，建议各投标人抓紧时间办理。CA数字证书使用中出现问题可拨打技术支持电话咨询，</w:t>
      </w:r>
      <w:r>
        <w:rPr>
          <w:rFonts w:hint="eastAsia" w:ascii="宋体" w:hAnsi="宋体" w:cs="宋体"/>
          <w:color w:val="FF0000"/>
          <w:sz w:val="24"/>
          <w:highlight w:val="yellow"/>
        </w:rPr>
        <w:t>政采云服务热线：95763。</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bCs/>
          <w:kern w:val="2"/>
        </w:rPr>
      </w:pPr>
      <w:r>
        <w:rPr>
          <w:rFonts w:hint="eastAsia" w:cs="宋体"/>
          <w:b/>
          <w:bCs/>
          <w:kern w:val="2"/>
        </w:rPr>
        <w:t>七、递交投标文件截止及开标时间：202</w:t>
      </w:r>
      <w:r>
        <w:rPr>
          <w:rFonts w:cs="宋体"/>
          <w:b/>
          <w:bCs/>
          <w:kern w:val="2"/>
        </w:rPr>
        <w:t>3</w:t>
      </w:r>
      <w:r>
        <w:rPr>
          <w:rFonts w:hint="eastAsia" w:cs="宋体"/>
          <w:b/>
          <w:bCs/>
          <w:kern w:val="2"/>
        </w:rPr>
        <w:t>年</w:t>
      </w:r>
      <w:r>
        <w:rPr>
          <w:rFonts w:hint="eastAsia" w:cs="宋体"/>
          <w:b/>
          <w:bCs/>
          <w:kern w:val="2"/>
          <w:lang w:val="en-US" w:eastAsia="zh-CN"/>
        </w:rPr>
        <w:t>12</w:t>
      </w:r>
      <w:r>
        <w:rPr>
          <w:rFonts w:hint="eastAsia" w:cs="宋体"/>
          <w:b/>
          <w:bCs/>
          <w:kern w:val="2"/>
        </w:rPr>
        <w:t>月</w:t>
      </w:r>
      <w:r>
        <w:rPr>
          <w:rFonts w:hint="eastAsia" w:cs="宋体"/>
          <w:b/>
          <w:bCs/>
          <w:kern w:val="2"/>
          <w:lang w:val="en-US" w:eastAsia="zh-CN"/>
        </w:rPr>
        <w:t>14</w:t>
      </w:r>
      <w:r>
        <w:rPr>
          <w:rFonts w:hint="eastAsia" w:cs="宋体"/>
          <w:b/>
          <w:bCs/>
          <w:kern w:val="2"/>
        </w:rPr>
        <w:t>日</w:t>
      </w:r>
      <w:r>
        <w:rPr>
          <w:rFonts w:hint="eastAsia" w:cs="宋体"/>
          <w:b/>
          <w:bCs/>
          <w:kern w:val="2"/>
          <w:lang w:val="en-US" w:eastAsia="zh-CN"/>
        </w:rPr>
        <w:t>14</w:t>
      </w:r>
      <w:r>
        <w:rPr>
          <w:rFonts w:hint="eastAsia" w:cs="宋体"/>
          <w:b/>
          <w:bCs/>
          <w:kern w:val="2"/>
        </w:rPr>
        <w:t>:00时（北京时间）</w:t>
      </w:r>
    </w:p>
    <w:p>
      <w:pPr>
        <w:pStyle w:val="9"/>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2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2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2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2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2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2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keepNext w:val="0"/>
        <w:keepLines w:val="0"/>
        <w:pageBreakBefore w:val="0"/>
        <w:kinsoku/>
        <w:wordWrap/>
        <w:topLinePunct w:val="0"/>
        <w:bidi w:val="0"/>
        <w:spacing w:line="420" w:lineRule="exact"/>
        <w:ind w:left="0" w:leftChars="0" w:firstLine="480" w:firstLineChars="200"/>
        <w:rPr>
          <w:rFonts w:hint="eastAsia" w:ascii="宋体" w:hAnsi="宋体" w:cs="宋体"/>
          <w:color w:val="FF0000"/>
          <w:kern w:val="0"/>
          <w:highlight w:val="yellow"/>
        </w:rPr>
      </w:pPr>
      <w:r>
        <w:rPr>
          <w:rFonts w:hint="eastAsia" w:ascii="宋体" w:hAnsi="宋体" w:cs="宋体"/>
          <w:color w:val="FF0000"/>
          <w:kern w:val="0"/>
          <w:highlight w:val="yellow"/>
        </w:rPr>
        <w:t>3.本项目有功能演示环节，请准备一份“演示录制视频 ”在投标截止前通过EMS或顺丰邮寄方式寄送至“浙江省衢州市九华北大道78号衢州学院</w:t>
      </w:r>
      <w:r>
        <w:rPr>
          <w:rFonts w:hint="eastAsia" w:ascii="宋体" w:hAnsi="宋体" w:cs="宋体"/>
          <w:color w:val="FF0000"/>
          <w:kern w:val="0"/>
          <w:highlight w:val="yellow"/>
          <w:lang w:val="en-US" w:eastAsia="zh-CN"/>
        </w:rPr>
        <w:t>实验室与资产管理处</w:t>
      </w:r>
      <w:r>
        <w:rPr>
          <w:rFonts w:hint="eastAsia" w:ascii="宋体" w:hAnsi="宋体" w:cs="宋体"/>
          <w:color w:val="FF0000"/>
          <w:kern w:val="0"/>
          <w:highlight w:val="yellow"/>
        </w:rPr>
        <w:t>周老师收”。“演示录制视频 ”</w:t>
      </w:r>
      <w:r>
        <w:rPr>
          <w:rFonts w:hint="eastAsia" w:ascii="宋体" w:hAnsi="宋体" w:cs="宋体"/>
          <w:bCs w:val="0"/>
          <w:color w:val="FF0000"/>
          <w:kern w:val="0"/>
          <w:highlight w:val="yellow"/>
        </w:rPr>
        <w:t xml:space="preserve"> 要求为未经后期编辑加工的原视频，提供</w:t>
      </w:r>
      <w:r>
        <w:rPr>
          <w:rFonts w:hint="eastAsia" w:ascii="宋体" w:hAnsi="宋体" w:cs="宋体"/>
          <w:bCs w:val="0"/>
          <w:color w:val="FF0000"/>
          <w:kern w:val="0"/>
          <w:sz w:val="24"/>
          <w:highlight w:val="yellow"/>
        </w:rPr>
        <w:t>未按要求的视频不得分,</w:t>
      </w:r>
      <w:r>
        <w:rPr>
          <w:rFonts w:hint="eastAsia" w:ascii="宋体" w:hAnsi="宋体" w:cs="宋体"/>
          <w:color w:val="FF0000"/>
          <w:kern w:val="0"/>
          <w:highlight w:val="yellow"/>
        </w:rPr>
        <w:t>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20" w:lineRule="exact"/>
        <w:ind w:firstLine="495"/>
        <w:rPr>
          <w:rFonts w:ascii="宋体" w:hAnsi="宋体" w:cs="宋体"/>
          <w:b/>
          <w:sz w:val="24"/>
        </w:rPr>
      </w:pPr>
      <w:r>
        <w:rPr>
          <w:rFonts w:hint="eastAsia" w:ascii="宋体" w:hAnsi="宋体" w:cs="宋体"/>
          <w:b/>
          <w:sz w:val="24"/>
        </w:rPr>
        <w:t>十三、本招标文件由</w:t>
      </w:r>
      <w:r>
        <w:rPr>
          <w:rFonts w:hint="eastAsia" w:ascii="宋体" w:hAnsi="宋体" w:cs="宋体"/>
          <w:b/>
          <w:bCs/>
          <w:sz w:val="24"/>
        </w:rPr>
        <w:t>实验室与资产管理处</w:t>
      </w:r>
      <w:r>
        <w:rPr>
          <w:rFonts w:hint="eastAsia" w:ascii="宋体" w:hAnsi="宋体" w:cs="宋体"/>
          <w:b/>
          <w:sz w:val="24"/>
        </w:rPr>
        <w:t>、化学与材料工程学院负责解释。</w:t>
      </w:r>
    </w:p>
    <w:p>
      <w:pPr>
        <w:keepNext w:val="0"/>
        <w:keepLines w:val="0"/>
        <w:pageBreakBefore w:val="0"/>
        <w:kinsoku/>
        <w:wordWrap/>
        <w:topLinePunct w:val="0"/>
        <w:bidi w:val="0"/>
        <w:spacing w:line="42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项目采购联系人：周老师；电话：0570-8015042，18957039862。</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   </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bookmarkStart w:id="0" w:name="OLE_LINK35"/>
      <w:r>
        <w:rPr>
          <w:rFonts w:hint="eastAsia" w:ascii="宋体" w:hAnsi="宋体" w:cs="宋体"/>
          <w:color w:val="000000" w:themeColor="text1"/>
          <w:kern w:val="0"/>
          <w:sz w:val="24"/>
          <w14:textFill>
            <w14:solidFill>
              <w14:schemeClr w14:val="tx1"/>
            </w14:solidFill>
          </w14:textFill>
        </w:rPr>
        <w:t>项目技术答疑联系人：曾老师；电话：</w:t>
      </w:r>
      <w:r>
        <w:rPr>
          <w:rFonts w:ascii="宋体" w:hAnsi="宋体" w:cs="宋体"/>
          <w:color w:val="000000" w:themeColor="text1"/>
          <w:kern w:val="0"/>
          <w:sz w:val="24"/>
          <w14:textFill>
            <w14:solidFill>
              <w14:schemeClr w14:val="tx1"/>
            </w14:solidFill>
          </w14:textFill>
        </w:rPr>
        <w:t>15957009733</w:t>
      </w:r>
      <w:r>
        <w:rPr>
          <w:rFonts w:hint="eastAsia" w:ascii="宋体" w:hAnsi="宋体" w:cs="宋体"/>
          <w:color w:val="000000" w:themeColor="text1"/>
          <w:kern w:val="0"/>
          <w:sz w:val="24"/>
          <w14:textFill>
            <w14:solidFill>
              <w14:schemeClr w14:val="tx1"/>
            </w14:solidFill>
          </w14:textFill>
        </w:rPr>
        <w:t>。</w:t>
      </w:r>
    </w:p>
    <w:bookmarkEnd w:id="0"/>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20" w:lineRule="exact"/>
        <w:ind w:firstLine="495"/>
        <w:jc w:val="right"/>
        <w:rPr>
          <w:rFonts w:ascii="宋体" w:hAnsi="宋体" w:cs="宋体"/>
          <w:sz w:val="24"/>
        </w:rPr>
      </w:pPr>
      <w:r>
        <w:rPr>
          <w:rFonts w:hint="eastAsia" w:ascii="宋体" w:hAnsi="宋体" w:cs="宋体"/>
          <w:sz w:val="24"/>
        </w:rPr>
        <w:t>衢州学院实验室与资产管理处</w:t>
      </w: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月2</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5610"/>
        <w:gridCol w:w="1754"/>
        <w:gridCol w:w="1260"/>
      </w:tblGrid>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75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.其它(投标人认为需投递的其他资格证明文件)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格式十二</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sz w:val="24"/>
              </w:rPr>
              <w:t>格式十四等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val="0"/>
                <w:color w:val="000000"/>
                <w:kern w:val="2"/>
                <w:sz w:val="24"/>
                <w:lang w:val="zh-CN"/>
              </w:rPr>
              <w:t>20</w:t>
            </w:r>
            <w:r>
              <w:rPr>
                <w:rFonts w:hint="eastAsia" w:ascii="宋体" w:hAnsi="宋体" w:cs="宋体"/>
                <w:bCs w:val="0"/>
                <w:color w:val="000000"/>
                <w:kern w:val="2"/>
                <w:sz w:val="24"/>
              </w:rPr>
              <w:t>21</w:t>
            </w:r>
            <w:r>
              <w:rPr>
                <w:rFonts w:hint="eastAsia" w:ascii="宋体" w:hAnsi="宋体" w:cs="宋体"/>
                <w:bCs w:val="0"/>
                <w:color w:val="000000"/>
                <w:kern w:val="2"/>
                <w:sz w:val="24"/>
                <w:lang w:val="zh-CN"/>
              </w:rPr>
              <w:t>年1月</w:t>
            </w:r>
            <w:r>
              <w:rPr>
                <w:rFonts w:hint="eastAsia" w:ascii="宋体" w:hAnsi="宋体" w:cs="宋体"/>
                <w:bCs w:val="0"/>
                <w:color w:val="000000"/>
                <w:kern w:val="2"/>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none"/>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2"/>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auto"/>
          <w:sz w:val="24"/>
        </w:rPr>
      </w:pPr>
      <w:r>
        <w:rPr>
          <w:rFonts w:hint="eastAsia" w:ascii="宋体" w:hAnsi="宋体" w:cs="宋体"/>
          <w:color w:val="auto"/>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1" w:name="串通投标的情形"/>
      <w:bookmarkStart w:id="2" w:name="_Toc359592368"/>
      <w:bookmarkStart w:id="3"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1"/>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4" w:name="废标的情形"/>
      <w:r>
        <w:rPr>
          <w:rFonts w:hint="eastAsia" w:ascii="宋体" w:hAnsi="宋体" w:cs="宋体"/>
          <w:b/>
          <w:color w:val="000000"/>
          <w:sz w:val="24"/>
        </w:rPr>
        <w:t>废标的情形</w:t>
      </w:r>
      <w:bookmarkEnd w:id="2"/>
      <w:bookmarkEnd w:id="3"/>
      <w:bookmarkEnd w:id="4"/>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spacing w:line="360" w:lineRule="auto"/>
        <w:ind w:firstLine="472" w:firstLineChars="196"/>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rPr>
        <w:t>202</w:t>
      </w:r>
      <w:r>
        <w:rPr>
          <w:rFonts w:ascii="宋体" w:hAnsi="宋体" w:cs="宋体"/>
          <w:b/>
          <w:bCs/>
          <w:color w:val="FF0000"/>
          <w:kern w:val="0"/>
          <w:sz w:val="24"/>
        </w:rPr>
        <w:t>3</w:t>
      </w:r>
      <w:r>
        <w:rPr>
          <w:rFonts w:hint="eastAsia" w:ascii="宋体" w:hAnsi="宋体" w:cs="宋体"/>
          <w:b/>
          <w:bCs/>
          <w:color w:val="FF0000"/>
          <w:kern w:val="0"/>
          <w:sz w:val="24"/>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lang w:val="en-US" w:eastAsia="zh-CN"/>
        </w:rPr>
        <w:t>2</w:t>
      </w:r>
      <w:r>
        <w:rPr>
          <w:rFonts w:hint="eastAsia" w:ascii="宋体" w:hAnsi="宋体" w:cs="宋体"/>
          <w:b/>
          <w:bCs/>
          <w:color w:val="FF0000"/>
          <w:kern w:val="0"/>
          <w:sz w:val="24"/>
        </w:rPr>
        <w:t>50天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质保期2年</w:t>
      </w:r>
      <w:r>
        <w:rPr>
          <w:rFonts w:hint="eastAsia" w:ascii="宋体" w:hAnsi="宋体" w:cs="宋体"/>
          <w:b/>
          <w:bCs/>
          <w:strike w:val="0"/>
          <w:color w:val="FF0000"/>
          <w:kern w:val="0"/>
          <w:sz w:val="24"/>
        </w:rPr>
        <w:t>(含耗材)</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耗材按市场采购价执行)。</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1.验收分初验、终验二阶段。中标单位将所供货物运至交货地点，采购单位相关人员在场时拆箱，由采购人当场清点验收。安装调试完毕后，协助采购人，在监理方参与条件下完成系统集成初验。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2.货物从系统集成初验合格次日起7天内，出现非采购人人为因素造成的无法排除的故障，则由中标单位负责予以模块调换。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3.实验室试运行且系统负荷达到环保设施验收标准后，正常运行3个月内组织实施（需提供正常负荷条件下的检测报告）。</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项目采购联系人：周老师，电话：0570-8015042，18957039862。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w:t>
      </w:r>
      <w:r>
        <w:rPr>
          <w:rFonts w:hint="eastAsia" w:ascii="宋体" w:hAnsi="宋体" w:cs="宋体"/>
          <w:color w:val="000000" w:themeColor="text1"/>
          <w:kern w:val="0"/>
          <w:sz w:val="24"/>
          <w14:textFill>
            <w14:solidFill>
              <w14:schemeClr w14:val="tx1"/>
            </w14:solidFill>
          </w14:textFill>
        </w:rPr>
        <w:t>0570-8015028，</w:t>
      </w:r>
      <w:r>
        <w:rPr>
          <w:rFonts w:ascii="宋体" w:hAnsi="宋体" w:eastAsia="宋体" w:cs="宋体"/>
          <w:sz w:val="24"/>
          <w:szCs w:val="24"/>
        </w:rPr>
        <w:t>15345707715</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项目技术答疑联系人：曾老师；电话：</w:t>
      </w:r>
      <w:r>
        <w:rPr>
          <w:rFonts w:ascii="宋体" w:hAnsi="宋体" w:cs="宋体"/>
          <w:color w:val="000000"/>
          <w:sz w:val="24"/>
        </w:rPr>
        <w:t>15957009733</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bookmarkStart w:id="5"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第三章采购内容及要求</w:t>
      </w:r>
      <w:bookmarkEnd w:id="5"/>
    </w:p>
    <w:p>
      <w:pPr>
        <w:spacing w:line="360" w:lineRule="auto"/>
        <w:rPr>
          <w:b/>
          <w:color w:val="000000"/>
          <w:sz w:val="24"/>
        </w:rPr>
      </w:pPr>
      <w:r>
        <w:rPr>
          <w:b/>
          <w:color w:val="000000"/>
          <w:sz w:val="24"/>
        </w:rPr>
        <w:t>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7"/>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161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sz w:val="24"/>
                <w:highlight w:val="red"/>
              </w:rPr>
            </w:pPr>
            <w:r>
              <w:rPr>
                <w:rFonts w:hint="eastAsia" w:ascii="宋体" w:hAnsi="宋体" w:cs="宋体"/>
                <w:sz w:val="24"/>
              </w:rPr>
              <w:t>实验室废水处理实训系统</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7"/>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35"/>
        <w:gridCol w:w="1176"/>
        <w:gridCol w:w="146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 w:val="24"/>
              </w:rPr>
            </w:pPr>
            <w:r>
              <w:rPr>
                <w:bCs/>
                <w:color w:val="000000"/>
                <w:kern w:val="0"/>
                <w:sz w:val="24"/>
              </w:rPr>
              <w:t>序号</w:t>
            </w:r>
          </w:p>
        </w:tc>
        <w:tc>
          <w:tcPr>
            <w:tcW w:w="3435" w:type="dxa"/>
            <w:vAlign w:val="center"/>
          </w:tcPr>
          <w:p>
            <w:pPr>
              <w:spacing w:line="360" w:lineRule="auto"/>
              <w:jc w:val="center"/>
              <w:rPr>
                <w:bCs/>
                <w:color w:val="000000"/>
                <w:kern w:val="0"/>
                <w:sz w:val="24"/>
              </w:rPr>
            </w:pPr>
            <w:r>
              <w:rPr>
                <w:bCs/>
                <w:color w:val="000000"/>
                <w:kern w:val="0"/>
                <w:sz w:val="24"/>
              </w:rPr>
              <w:t>采购设备名称</w:t>
            </w:r>
          </w:p>
        </w:tc>
        <w:tc>
          <w:tcPr>
            <w:tcW w:w="1176" w:type="dxa"/>
            <w:vAlign w:val="center"/>
          </w:tcPr>
          <w:p>
            <w:pPr>
              <w:spacing w:line="360" w:lineRule="auto"/>
              <w:jc w:val="center"/>
              <w:rPr>
                <w:bCs/>
                <w:color w:val="000000"/>
                <w:kern w:val="0"/>
                <w:sz w:val="24"/>
              </w:rPr>
            </w:pPr>
            <w:r>
              <w:rPr>
                <w:bCs/>
                <w:color w:val="000000"/>
                <w:kern w:val="0"/>
                <w:sz w:val="24"/>
              </w:rPr>
              <w:t>单位</w:t>
            </w:r>
          </w:p>
        </w:tc>
        <w:tc>
          <w:tcPr>
            <w:tcW w:w="1464" w:type="dxa"/>
            <w:vAlign w:val="center"/>
          </w:tcPr>
          <w:p>
            <w:pPr>
              <w:spacing w:line="360" w:lineRule="auto"/>
              <w:jc w:val="center"/>
              <w:rPr>
                <w:bCs/>
                <w:color w:val="000000"/>
                <w:sz w:val="24"/>
              </w:rPr>
            </w:pPr>
            <w:r>
              <w:rPr>
                <w:bCs/>
                <w:color w:val="000000"/>
                <w:sz w:val="24"/>
              </w:rPr>
              <w:t>数量</w:t>
            </w:r>
          </w:p>
        </w:tc>
        <w:tc>
          <w:tcPr>
            <w:tcW w:w="1728" w:type="dxa"/>
            <w:vAlign w:val="center"/>
          </w:tcPr>
          <w:p>
            <w:pPr>
              <w:spacing w:line="360" w:lineRule="auto"/>
              <w:jc w:val="center"/>
              <w:rPr>
                <w:bCs/>
                <w:color w:val="000000"/>
                <w:sz w:val="24"/>
              </w:rPr>
            </w:pPr>
            <w:r>
              <w:rPr>
                <w:rFonts w:hint="eastAsia"/>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废液收集系统</w:t>
            </w:r>
          </w:p>
        </w:tc>
        <w:tc>
          <w:tcPr>
            <w:tcW w:w="117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Merge w:val="restart"/>
            <w:vAlign w:val="center"/>
          </w:tcPr>
          <w:p>
            <w:pPr>
              <w:jc w:val="center"/>
              <w:rPr>
                <w:rFonts w:ascii="Times New Roman" w:hAnsi="Times New Roman" w:cs="Times New Roman"/>
                <w:bCs w:val="0"/>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废水处理系统</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Merge w:val="continue"/>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3</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配电及自控系统</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Merge w:val="continue"/>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4</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过程废气净化系统</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Merge w:val="continue"/>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5</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在线监测系统</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Merge w:val="continue"/>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6</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远程控制及检测系统</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ascii="宋体" w:hAnsi="宋体" w:cs="宋体"/>
                <w:bCs/>
                <w:color w:val="000000"/>
                <w:szCs w:val="21"/>
              </w:rPr>
              <w:t>1</w:t>
            </w:r>
          </w:p>
        </w:tc>
        <w:tc>
          <w:tcPr>
            <w:tcW w:w="1728" w:type="dxa"/>
            <w:vMerge w:val="continue"/>
            <w:vAlign w:val="center"/>
          </w:tcPr>
          <w:p>
            <w:pPr>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7</w:t>
            </w:r>
          </w:p>
        </w:tc>
        <w:tc>
          <w:tcPr>
            <w:tcW w:w="3435" w:type="dxa"/>
            <w:vAlign w:val="center"/>
          </w:tcPr>
          <w:p>
            <w:pPr>
              <w:spacing w:line="360" w:lineRule="auto"/>
              <w:jc w:val="center"/>
              <w:rPr>
                <w:rFonts w:hint="eastAsia" w:ascii="宋体" w:hAnsi="宋体" w:eastAsia="宋体" w:cs="宋体"/>
                <w:bCs/>
                <w:color w:val="000000"/>
                <w:kern w:val="0"/>
                <w:sz w:val="21"/>
                <w:szCs w:val="21"/>
                <w:lang w:val="zh-CN"/>
              </w:rPr>
            </w:pPr>
            <w:r>
              <w:rPr>
                <w:rFonts w:hint="eastAsia" w:ascii="宋体" w:hAnsi="宋体" w:cs="宋体"/>
                <w:bCs/>
                <w:color w:val="000000"/>
                <w:kern w:val="0"/>
                <w:sz w:val="21"/>
                <w:szCs w:val="21"/>
              </w:rPr>
              <w:t>其他配套设施</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360" w:lineRule="auto"/>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8</w:t>
            </w:r>
          </w:p>
        </w:tc>
        <w:tc>
          <w:tcPr>
            <w:tcW w:w="3435" w:type="dxa"/>
            <w:vAlign w:val="center"/>
          </w:tcPr>
          <w:p>
            <w:pPr>
              <w:spacing w:line="360" w:lineRule="auto"/>
              <w:jc w:val="center"/>
              <w:rPr>
                <w:rFonts w:hint="eastAsia" w:ascii="宋体" w:hAnsi="宋体" w:cs="宋体"/>
                <w:bCs/>
                <w:color w:val="000000"/>
                <w:kern w:val="0"/>
                <w:sz w:val="21"/>
                <w:szCs w:val="21"/>
              </w:rPr>
            </w:pPr>
            <w:r>
              <w:rPr>
                <w:rFonts w:hint="eastAsia" w:ascii="宋体" w:hAnsi="宋体" w:cs="宋体"/>
                <w:bCs/>
                <w:color w:val="000000"/>
                <w:kern w:val="0"/>
                <w:sz w:val="21"/>
                <w:szCs w:val="21"/>
              </w:rPr>
              <w:t>旁路系统</w:t>
            </w:r>
          </w:p>
        </w:tc>
        <w:tc>
          <w:tcPr>
            <w:tcW w:w="1176" w:type="dxa"/>
            <w:vAlign w:val="center"/>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360" w:lineRule="auto"/>
              <w:jc w:val="center"/>
              <w:rPr>
                <w:rFonts w:ascii="宋体" w:hAnsi="宋体" w:cs="宋体"/>
                <w:bCs/>
                <w:color w:val="000000"/>
                <w:szCs w:val="21"/>
              </w:rPr>
            </w:pP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p>
      <w:pPr>
        <w:keepNext/>
        <w:keepLines/>
        <w:spacing w:line="360" w:lineRule="auto"/>
        <w:outlineLvl w:val="2"/>
        <w:rPr>
          <w:rFonts w:ascii="宋体" w:hAnsi="宋体" w:cs="宋体"/>
          <w:b/>
          <w:bCs/>
          <w:sz w:val="24"/>
        </w:rPr>
      </w:pPr>
      <w:bookmarkStart w:id="6" w:name="_Toc471981824"/>
      <w:r>
        <w:rPr>
          <w:rFonts w:hint="eastAsia" w:ascii="宋体" w:hAnsi="宋体" w:cs="宋体"/>
          <w:b/>
          <w:bCs/>
          <w:sz w:val="24"/>
        </w:rPr>
        <w:t>1.项目概况</w:t>
      </w:r>
      <w:bookmarkEnd w:id="6"/>
    </w:p>
    <w:p>
      <w:pPr>
        <w:tabs>
          <w:tab w:val="left" w:pos="5250"/>
        </w:tabs>
        <w:adjustRightInd w:val="0"/>
        <w:snapToGrid w:val="0"/>
        <w:spacing w:line="360" w:lineRule="auto"/>
        <w:ind w:firstLine="480" w:firstLineChars="200"/>
        <w:rPr>
          <w:kern w:val="44"/>
          <w:sz w:val="24"/>
        </w:rPr>
      </w:pPr>
      <w:r>
        <w:rPr>
          <w:rFonts w:hint="eastAsia"/>
          <w:kern w:val="44"/>
          <w:sz w:val="24"/>
        </w:rPr>
        <w:t>衢州学院是一所以工为主、多科协调发展的全日制应用型普通本科院校。学校校园占地863亩，设有化学与材料工程学院、机械工程学院、建筑工程学院、电气与信息工程学院、商学院、教师教育学院、外国语学院/国际教育学院、马克思主义学院、创业学院、体育工作部等10个学院（部），开设涉及工学、教育学、管理学、经济学、文学、理学、艺术学等7大学科门类的本科专业29个</w:t>
      </w:r>
      <w:r>
        <w:rPr>
          <w:kern w:val="44"/>
          <w:sz w:val="24"/>
        </w:rPr>
        <w:t>。</w:t>
      </w:r>
      <w:r>
        <w:rPr>
          <w:rFonts w:hint="eastAsia"/>
          <w:kern w:val="44"/>
          <w:sz w:val="24"/>
        </w:rPr>
        <w:t>现学校因训研创大楼建设需要，研究决定购置实验室废液（水）处理实训系统，用以学校实验室废水处理及学生实践实训平台。</w:t>
      </w:r>
    </w:p>
    <w:p>
      <w:pPr>
        <w:keepNext/>
        <w:keepLines/>
        <w:spacing w:line="360" w:lineRule="auto"/>
        <w:outlineLvl w:val="2"/>
        <w:rPr>
          <w:rFonts w:ascii="宋体" w:hAnsi="宋体" w:cs="宋体"/>
          <w:b/>
          <w:bCs/>
          <w:sz w:val="24"/>
        </w:rPr>
      </w:pPr>
      <w:bookmarkStart w:id="7" w:name="_Toc471981825"/>
      <w:bookmarkStart w:id="8" w:name="_Toc255474329"/>
      <w:r>
        <w:rPr>
          <w:rFonts w:hint="eastAsia" w:ascii="宋体" w:hAnsi="宋体" w:cs="宋体"/>
          <w:b/>
          <w:bCs/>
          <w:sz w:val="24"/>
        </w:rPr>
        <w:t>2.项目依据</w:t>
      </w:r>
      <w:bookmarkEnd w:id="7"/>
      <w:bookmarkEnd w:id="8"/>
      <w:r>
        <w:rPr>
          <w:rFonts w:hint="eastAsia" w:ascii="宋体" w:hAnsi="宋体" w:cs="宋体"/>
          <w:b/>
          <w:bCs/>
          <w:sz w:val="24"/>
        </w:rPr>
        <w:t xml:space="preserve"> </w:t>
      </w:r>
    </w:p>
    <w:p>
      <w:pPr>
        <w:spacing w:line="360" w:lineRule="auto"/>
        <w:rPr>
          <w:sz w:val="24"/>
          <w:szCs w:val="22"/>
        </w:rPr>
      </w:pPr>
      <w:r>
        <w:rPr>
          <w:rFonts w:hint="eastAsia"/>
          <w:sz w:val="24"/>
          <w:szCs w:val="22"/>
        </w:rPr>
        <w:t>（1）衢州学院提供的废水相关资料；</w:t>
      </w:r>
    </w:p>
    <w:p>
      <w:pPr>
        <w:spacing w:line="360" w:lineRule="auto"/>
        <w:rPr>
          <w:sz w:val="24"/>
          <w:szCs w:val="22"/>
        </w:rPr>
      </w:pPr>
      <w:r>
        <w:rPr>
          <w:rFonts w:hint="eastAsia"/>
          <w:sz w:val="24"/>
          <w:szCs w:val="22"/>
        </w:rPr>
        <w:t>（2）衢州学院在建训研创大楼设计资料；</w:t>
      </w:r>
    </w:p>
    <w:p>
      <w:pPr>
        <w:spacing w:line="360" w:lineRule="auto"/>
        <w:rPr>
          <w:sz w:val="24"/>
          <w:szCs w:val="22"/>
        </w:rPr>
      </w:pPr>
      <w:r>
        <w:rPr>
          <w:rFonts w:hint="eastAsia"/>
          <w:sz w:val="24"/>
          <w:szCs w:val="22"/>
        </w:rPr>
        <w:t>（3）衢州学院化学与材料</w:t>
      </w:r>
      <w:r>
        <w:rPr>
          <w:sz w:val="24"/>
          <w:szCs w:val="22"/>
        </w:rPr>
        <w:t>工程学院</w:t>
      </w:r>
      <w:r>
        <w:rPr>
          <w:rFonts w:hint="eastAsia"/>
          <w:sz w:val="24"/>
          <w:szCs w:val="22"/>
        </w:rPr>
        <w:t>现场勘查资料；</w:t>
      </w:r>
    </w:p>
    <w:p>
      <w:pPr>
        <w:spacing w:line="360" w:lineRule="auto"/>
        <w:rPr>
          <w:sz w:val="24"/>
          <w:szCs w:val="22"/>
        </w:rPr>
      </w:pPr>
      <w:r>
        <w:rPr>
          <w:rFonts w:hint="eastAsia"/>
          <w:sz w:val="24"/>
          <w:szCs w:val="22"/>
        </w:rPr>
        <w:t>（4）国家、省的现行设计及施工验收规范、质量评定标准等文件和有关规定。</w:t>
      </w:r>
    </w:p>
    <w:p>
      <w:pPr>
        <w:keepNext/>
        <w:keepLines/>
        <w:spacing w:line="360" w:lineRule="auto"/>
        <w:outlineLvl w:val="2"/>
        <w:rPr>
          <w:rFonts w:ascii="宋体" w:hAnsi="宋体" w:cs="宋体"/>
          <w:b/>
          <w:bCs/>
          <w:sz w:val="24"/>
        </w:rPr>
      </w:pPr>
      <w:bookmarkStart w:id="9" w:name="_Toc471981826"/>
      <w:r>
        <w:rPr>
          <w:rFonts w:hint="eastAsia" w:ascii="宋体" w:hAnsi="宋体" w:cs="宋体"/>
          <w:b/>
          <w:bCs/>
          <w:sz w:val="24"/>
        </w:rPr>
        <w:t>3.执行标准和规范</w:t>
      </w:r>
      <w:bookmarkEnd w:id="9"/>
    </w:p>
    <w:p>
      <w:pPr>
        <w:adjustRightInd w:val="0"/>
        <w:snapToGrid w:val="0"/>
        <w:spacing w:line="360" w:lineRule="auto"/>
        <w:jc w:val="left"/>
        <w:rPr>
          <w:rFonts w:ascii="宋体" w:hAnsi="宋体"/>
          <w:sz w:val="24"/>
          <w:szCs w:val="22"/>
        </w:rPr>
      </w:pPr>
      <w:r>
        <w:rPr>
          <w:rFonts w:hint="eastAsia" w:ascii="宋体" w:hAnsi="宋体"/>
          <w:sz w:val="24"/>
          <w:szCs w:val="22"/>
        </w:rPr>
        <w:t>（1）《室外排水设计规范》（GB50014-2021）</w:t>
      </w:r>
    </w:p>
    <w:p>
      <w:pPr>
        <w:adjustRightInd w:val="0"/>
        <w:snapToGrid w:val="0"/>
        <w:spacing w:line="360" w:lineRule="auto"/>
        <w:jc w:val="left"/>
        <w:rPr>
          <w:rFonts w:ascii="宋体" w:hAnsi="宋体"/>
          <w:sz w:val="24"/>
          <w:szCs w:val="22"/>
        </w:rPr>
      </w:pPr>
      <w:r>
        <w:rPr>
          <w:rFonts w:hint="eastAsia" w:ascii="宋体" w:hAnsi="宋体"/>
          <w:sz w:val="24"/>
          <w:szCs w:val="22"/>
        </w:rPr>
        <w:t>（2）《污水排入城镇下水道水质标准》（GB/T31962-2015）</w:t>
      </w:r>
    </w:p>
    <w:p>
      <w:pPr>
        <w:adjustRightInd w:val="0"/>
        <w:snapToGrid w:val="0"/>
        <w:spacing w:line="360" w:lineRule="auto"/>
        <w:jc w:val="left"/>
        <w:rPr>
          <w:rFonts w:ascii="宋体" w:hAnsi="宋体"/>
          <w:sz w:val="24"/>
          <w:szCs w:val="22"/>
        </w:rPr>
      </w:pPr>
      <w:r>
        <w:rPr>
          <w:rFonts w:hint="eastAsia" w:ascii="宋体" w:hAnsi="宋体"/>
          <w:sz w:val="24"/>
          <w:szCs w:val="22"/>
        </w:rPr>
        <w:t>（3）《城市污水再生利用工业用水水质》（GB/T19923-2005）</w:t>
      </w:r>
    </w:p>
    <w:p>
      <w:pPr>
        <w:adjustRightInd w:val="0"/>
        <w:snapToGrid w:val="0"/>
        <w:spacing w:line="360" w:lineRule="auto"/>
        <w:jc w:val="left"/>
        <w:rPr>
          <w:rFonts w:ascii="宋体" w:hAnsi="宋体"/>
          <w:sz w:val="24"/>
          <w:szCs w:val="22"/>
        </w:rPr>
      </w:pPr>
      <w:r>
        <w:rPr>
          <w:rFonts w:hint="eastAsia" w:ascii="宋体" w:hAnsi="宋体"/>
          <w:sz w:val="24"/>
          <w:szCs w:val="22"/>
        </w:rPr>
        <w:t>（4）《膜生物法污水处理技术规范》（HJ2010-2011）</w:t>
      </w:r>
    </w:p>
    <w:p>
      <w:pPr>
        <w:adjustRightInd w:val="0"/>
        <w:snapToGrid w:val="0"/>
        <w:spacing w:line="360" w:lineRule="auto"/>
        <w:jc w:val="left"/>
        <w:rPr>
          <w:rFonts w:ascii="宋体" w:hAnsi="宋体"/>
          <w:sz w:val="24"/>
          <w:szCs w:val="22"/>
        </w:rPr>
      </w:pPr>
      <w:r>
        <w:rPr>
          <w:rFonts w:hint="eastAsia" w:ascii="宋体" w:hAnsi="宋体"/>
          <w:sz w:val="24"/>
          <w:szCs w:val="22"/>
        </w:rPr>
        <w:t>（5）《生物接触氧化法污水处理工程技术规范》（HJ2009-2011）</w:t>
      </w:r>
    </w:p>
    <w:p>
      <w:pPr>
        <w:adjustRightInd w:val="0"/>
        <w:snapToGrid w:val="0"/>
        <w:spacing w:line="360" w:lineRule="auto"/>
        <w:jc w:val="left"/>
        <w:rPr>
          <w:rFonts w:ascii="宋体" w:hAnsi="宋体"/>
          <w:sz w:val="24"/>
          <w:szCs w:val="22"/>
        </w:rPr>
      </w:pPr>
      <w:r>
        <w:rPr>
          <w:rFonts w:hint="eastAsia" w:ascii="宋体" w:hAnsi="宋体"/>
          <w:sz w:val="24"/>
          <w:szCs w:val="22"/>
        </w:rPr>
        <w:t>（6）《大气污染物综合排放标准》（</w:t>
      </w:r>
      <w:r>
        <w:rPr>
          <w:rFonts w:ascii="宋体" w:hAnsi="宋体"/>
          <w:sz w:val="24"/>
          <w:szCs w:val="22"/>
        </w:rPr>
        <w:t>GB16297-1996</w:t>
      </w:r>
      <w:r>
        <w:rPr>
          <w:rFonts w:hint="eastAsia" w:ascii="宋体" w:hAnsi="宋体"/>
          <w:sz w:val="24"/>
          <w:szCs w:val="22"/>
        </w:rPr>
        <w:t>）</w:t>
      </w:r>
    </w:p>
    <w:p>
      <w:pPr>
        <w:pStyle w:val="2"/>
        <w:snapToGrid w:val="0"/>
        <w:spacing w:line="360" w:lineRule="auto"/>
        <w:ind w:left="541" w:leftChars="20" w:hanging="499" w:hangingChars="208"/>
        <w:rPr>
          <w:rFonts w:ascii="宋体" w:hAnsi="宋体"/>
          <w:szCs w:val="22"/>
        </w:rPr>
      </w:pPr>
      <w:r>
        <w:rPr>
          <w:rFonts w:hint="eastAsia" w:ascii="宋体" w:hAnsi="宋体"/>
          <w:szCs w:val="22"/>
        </w:rPr>
        <w:t>（7）《恶臭污染物排放标准》（GB 14554-</w:t>
      </w:r>
      <w:r>
        <w:rPr>
          <w:rFonts w:ascii="宋体" w:hAnsi="宋体"/>
          <w:szCs w:val="22"/>
        </w:rPr>
        <w:t>2020</w:t>
      </w:r>
      <w:r>
        <w:rPr>
          <w:rFonts w:hint="eastAsia" w:ascii="宋体" w:hAnsi="宋体"/>
          <w:szCs w:val="22"/>
        </w:rPr>
        <w:t>）</w:t>
      </w:r>
    </w:p>
    <w:p>
      <w:pPr>
        <w:adjustRightInd w:val="0"/>
        <w:snapToGrid w:val="0"/>
        <w:spacing w:line="360" w:lineRule="auto"/>
        <w:jc w:val="left"/>
        <w:rPr>
          <w:rFonts w:ascii="宋体" w:hAnsi="宋体"/>
          <w:sz w:val="24"/>
          <w:szCs w:val="22"/>
        </w:rPr>
      </w:pPr>
      <w:r>
        <w:rPr>
          <w:rFonts w:hint="eastAsia" w:ascii="宋体" w:hAnsi="宋体"/>
          <w:sz w:val="24"/>
          <w:szCs w:val="22"/>
        </w:rPr>
        <w:t>（8）《建筑给水排水设计规范》（GB50015-2019)</w:t>
      </w:r>
    </w:p>
    <w:p>
      <w:pPr>
        <w:adjustRightInd w:val="0"/>
        <w:snapToGrid w:val="0"/>
        <w:spacing w:line="360" w:lineRule="auto"/>
        <w:jc w:val="left"/>
        <w:rPr>
          <w:rFonts w:ascii="宋体" w:hAnsi="宋体"/>
          <w:sz w:val="24"/>
          <w:szCs w:val="22"/>
        </w:rPr>
      </w:pPr>
      <w:r>
        <w:rPr>
          <w:rFonts w:hint="eastAsia" w:ascii="宋体" w:hAnsi="宋体"/>
          <w:sz w:val="24"/>
          <w:szCs w:val="22"/>
        </w:rPr>
        <w:t>（9）《建筑工程施工质量验收统一标准》（GB50300-2016）</w:t>
      </w:r>
    </w:p>
    <w:p>
      <w:pPr>
        <w:adjustRightInd w:val="0"/>
        <w:snapToGrid w:val="0"/>
        <w:spacing w:line="360" w:lineRule="auto"/>
        <w:jc w:val="left"/>
        <w:rPr>
          <w:rFonts w:ascii="宋体" w:hAnsi="宋体"/>
          <w:sz w:val="24"/>
          <w:szCs w:val="22"/>
        </w:rPr>
      </w:pPr>
      <w:r>
        <w:rPr>
          <w:rFonts w:hint="eastAsia" w:ascii="宋体" w:hAnsi="宋体"/>
          <w:sz w:val="24"/>
          <w:szCs w:val="22"/>
        </w:rPr>
        <w:t>（10）《城镇污水处理厂附属建筑和附属设备设计标准》（CJJ31-89）</w:t>
      </w:r>
    </w:p>
    <w:p>
      <w:pPr>
        <w:adjustRightInd w:val="0"/>
        <w:snapToGrid w:val="0"/>
        <w:spacing w:line="360" w:lineRule="auto"/>
        <w:jc w:val="left"/>
        <w:rPr>
          <w:rFonts w:ascii="宋体" w:hAnsi="宋体"/>
          <w:sz w:val="24"/>
          <w:szCs w:val="22"/>
        </w:rPr>
      </w:pPr>
      <w:r>
        <w:rPr>
          <w:rFonts w:hint="eastAsia" w:ascii="宋体" w:hAnsi="宋体"/>
          <w:sz w:val="24"/>
          <w:szCs w:val="22"/>
        </w:rPr>
        <w:t>（11）</w:t>
      </w:r>
      <w:r>
        <w:rPr>
          <w:rFonts w:hint="eastAsia"/>
          <w:sz w:val="24"/>
          <w:szCs w:val="22"/>
        </w:rPr>
        <w:t>《工业企业噪声控制设计规范》（GB</w:t>
      </w:r>
      <w:r>
        <w:rPr>
          <w:sz w:val="24"/>
          <w:szCs w:val="22"/>
        </w:rPr>
        <w:t>/T50087</w:t>
      </w:r>
      <w:r>
        <w:rPr>
          <w:rFonts w:hint="eastAsia"/>
          <w:sz w:val="24"/>
          <w:szCs w:val="22"/>
        </w:rPr>
        <w:t>-2013）</w:t>
      </w:r>
    </w:p>
    <w:p>
      <w:pPr>
        <w:adjustRightInd w:val="0"/>
        <w:snapToGrid w:val="0"/>
        <w:spacing w:line="360" w:lineRule="auto"/>
        <w:jc w:val="left"/>
        <w:rPr>
          <w:rFonts w:ascii="宋体" w:hAnsi="宋体"/>
          <w:sz w:val="24"/>
          <w:szCs w:val="22"/>
        </w:rPr>
      </w:pPr>
      <w:r>
        <w:rPr>
          <w:rFonts w:hint="eastAsia" w:ascii="宋体" w:hAnsi="宋体"/>
          <w:sz w:val="24"/>
          <w:szCs w:val="22"/>
        </w:rPr>
        <w:t>（12）《供配电系统设计规范》（</w:t>
      </w:r>
      <w:r>
        <w:rPr>
          <w:rFonts w:hint="eastAsia"/>
          <w:sz w:val="24"/>
          <w:szCs w:val="22"/>
        </w:rPr>
        <w:t>GB50052-</w:t>
      </w:r>
      <w:r>
        <w:rPr>
          <w:sz w:val="24"/>
          <w:szCs w:val="22"/>
        </w:rPr>
        <w:t>2009</w:t>
      </w:r>
      <w:r>
        <w:rPr>
          <w:rFonts w:hint="eastAsia" w:ascii="宋体" w:hAnsi="宋体"/>
          <w:sz w:val="24"/>
          <w:szCs w:val="22"/>
        </w:rPr>
        <w:t>）</w:t>
      </w:r>
    </w:p>
    <w:p>
      <w:pPr>
        <w:adjustRightInd w:val="0"/>
        <w:snapToGrid w:val="0"/>
        <w:spacing w:line="360" w:lineRule="auto"/>
        <w:rPr>
          <w:rFonts w:ascii="宋体" w:hAnsi="宋体"/>
          <w:sz w:val="24"/>
          <w:szCs w:val="22"/>
        </w:rPr>
      </w:pPr>
      <w:r>
        <w:rPr>
          <w:rFonts w:hint="eastAsia" w:ascii="宋体" w:hAnsi="宋体"/>
          <w:sz w:val="24"/>
          <w:szCs w:val="22"/>
        </w:rPr>
        <w:t>（13）国家现行的规范、规程、标准及地方有关标准、图集、规定</w:t>
      </w:r>
    </w:p>
    <w:p>
      <w:pPr>
        <w:keepNext/>
        <w:keepLines/>
        <w:spacing w:line="360" w:lineRule="auto"/>
        <w:outlineLvl w:val="2"/>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4.采购名称、参数：</w:t>
      </w:r>
    </w:p>
    <w:tbl>
      <w:tblPr>
        <w:tblStyle w:val="17"/>
        <w:tblW w:w="82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7"/>
        <w:gridCol w:w="1837"/>
        <w:gridCol w:w="3759"/>
        <w:gridCol w:w="1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827" w:type="dxa"/>
            <w:tcBorders>
              <w:top w:val="single" w:color="auto" w:sz="12" w:space="0"/>
            </w:tcBorders>
            <w:vAlign w:val="center"/>
          </w:tcPr>
          <w:p>
            <w:pPr>
              <w:jc w:val="center"/>
              <w:rPr>
                <w:sz w:val="24"/>
                <w:szCs w:val="30"/>
              </w:rPr>
            </w:pPr>
            <w:r>
              <w:rPr>
                <w:rFonts w:hint="eastAsia"/>
                <w:sz w:val="24"/>
                <w:szCs w:val="30"/>
              </w:rPr>
              <w:t>序号</w:t>
            </w:r>
          </w:p>
        </w:tc>
        <w:tc>
          <w:tcPr>
            <w:tcW w:w="1837" w:type="dxa"/>
            <w:tcBorders>
              <w:top w:val="single" w:color="auto" w:sz="12" w:space="0"/>
            </w:tcBorders>
            <w:vAlign w:val="center"/>
          </w:tcPr>
          <w:p>
            <w:pPr>
              <w:jc w:val="center"/>
              <w:rPr>
                <w:sz w:val="24"/>
                <w:szCs w:val="30"/>
              </w:rPr>
            </w:pPr>
            <w:r>
              <w:rPr>
                <w:rFonts w:hint="eastAsia"/>
                <w:sz w:val="24"/>
                <w:szCs w:val="30"/>
              </w:rPr>
              <w:t>设备名称</w:t>
            </w:r>
          </w:p>
        </w:tc>
        <w:tc>
          <w:tcPr>
            <w:tcW w:w="3759" w:type="dxa"/>
            <w:tcBorders>
              <w:top w:val="single" w:color="auto" w:sz="12" w:space="0"/>
            </w:tcBorders>
            <w:vAlign w:val="center"/>
          </w:tcPr>
          <w:p>
            <w:pPr>
              <w:jc w:val="center"/>
              <w:rPr>
                <w:sz w:val="24"/>
                <w:szCs w:val="30"/>
              </w:rPr>
            </w:pPr>
            <w:r>
              <w:rPr>
                <w:rFonts w:hint="eastAsia"/>
                <w:sz w:val="24"/>
                <w:szCs w:val="30"/>
              </w:rPr>
              <w:t>型号及参数</w:t>
            </w:r>
          </w:p>
        </w:tc>
        <w:tc>
          <w:tcPr>
            <w:tcW w:w="1875" w:type="dxa"/>
            <w:tcBorders>
              <w:top w:val="single" w:color="auto" w:sz="12" w:space="0"/>
            </w:tcBorders>
            <w:vAlign w:val="center"/>
          </w:tcPr>
          <w:p>
            <w:pPr>
              <w:jc w:val="center"/>
              <w:rPr>
                <w:sz w:val="24"/>
                <w:szCs w:val="30"/>
              </w:rPr>
            </w:pPr>
            <w:r>
              <w:rPr>
                <w:rFonts w:hint="eastAsia"/>
                <w:sz w:val="24"/>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827" w:type="dxa"/>
            <w:vAlign w:val="center"/>
          </w:tcPr>
          <w:p>
            <w:pPr>
              <w:jc w:val="center"/>
              <w:rPr>
                <w:rFonts w:ascii="宋体" w:cs="宋体"/>
                <w:color w:val="000000"/>
                <w:sz w:val="22"/>
                <w:szCs w:val="22"/>
              </w:rPr>
            </w:pPr>
            <w:r>
              <w:rPr>
                <w:rFonts w:ascii="宋体" w:hAnsi="宋体" w:cs="宋体"/>
                <w:color w:val="000000"/>
                <w:sz w:val="22"/>
                <w:szCs w:val="22"/>
              </w:rPr>
              <w:t>1</w:t>
            </w:r>
          </w:p>
        </w:tc>
        <w:tc>
          <w:tcPr>
            <w:tcW w:w="1837" w:type="dxa"/>
            <w:vAlign w:val="center"/>
          </w:tcPr>
          <w:p>
            <w:pPr>
              <w:jc w:val="center"/>
              <w:rPr>
                <w:rFonts w:ascii="宋体" w:cs="宋体"/>
                <w:color w:val="000000"/>
                <w:sz w:val="22"/>
                <w:szCs w:val="22"/>
              </w:rPr>
            </w:pPr>
            <w:r>
              <w:rPr>
                <w:rFonts w:hint="eastAsia"/>
                <w:b/>
              </w:rPr>
              <w:t>实验室废水处理实训系统</w:t>
            </w:r>
          </w:p>
        </w:tc>
        <w:tc>
          <w:tcPr>
            <w:tcW w:w="3759" w:type="dxa"/>
            <w:vAlign w:val="center"/>
          </w:tcPr>
          <w:p>
            <w:pPr>
              <w:jc w:val="center"/>
              <w:rPr>
                <w:rFonts w:ascii="宋体"/>
                <w:color w:val="000000"/>
                <w:sz w:val="24"/>
              </w:rPr>
            </w:pPr>
            <w:r>
              <w:rPr>
                <w:rFonts w:hint="eastAsia"/>
              </w:rPr>
              <w:t>最大处理量：实验废液60m³/a（各类废液总量），实验室废水20m³/d。</w:t>
            </w:r>
          </w:p>
        </w:tc>
        <w:tc>
          <w:tcPr>
            <w:tcW w:w="1875" w:type="dxa"/>
            <w:vAlign w:val="center"/>
          </w:tcPr>
          <w:p>
            <w:pPr>
              <w:jc w:val="center"/>
              <w:rPr>
                <w:rFonts w:ascii="宋体" w:cs="宋体"/>
                <w:color w:val="000000"/>
                <w:sz w:val="22"/>
                <w:szCs w:val="22"/>
              </w:rPr>
            </w:pPr>
            <w:r>
              <w:rPr>
                <w:rFonts w:hint="eastAsia" w:ascii="宋体" w:hAnsi="宋体" w:cs="宋体"/>
                <w:color w:val="000000"/>
                <w:sz w:val="22"/>
                <w:szCs w:val="22"/>
              </w:rPr>
              <w:t>成套设备</w:t>
            </w:r>
          </w:p>
        </w:tc>
      </w:tr>
    </w:tbl>
    <w:p>
      <w:pPr>
        <w:spacing w:line="500" w:lineRule="exact"/>
        <w:rPr>
          <w:rFonts w:ascii="宋体" w:hAnsi="宋体" w:cs="宋体"/>
          <w:sz w:val="24"/>
        </w:rPr>
      </w:pPr>
      <w:r>
        <w:rPr>
          <w:rFonts w:hint="eastAsia" w:ascii="宋体" w:hAnsi="宋体" w:cs="宋体"/>
          <w:b/>
          <w:bCs/>
          <w:sz w:val="24"/>
        </w:rPr>
        <w:t>5.采购明细：</w:t>
      </w:r>
    </w:p>
    <w:p>
      <w:pPr>
        <w:jc w:val="center"/>
        <w:rPr>
          <w:sz w:val="28"/>
          <w:szCs w:val="28"/>
        </w:rPr>
      </w:pPr>
      <w:r>
        <w:rPr>
          <w:rFonts w:hint="eastAsia"/>
          <w:sz w:val="28"/>
          <w:szCs w:val="28"/>
        </w:rPr>
        <w:t>衢州学院实验室废水处理实训系统配置清单</w:t>
      </w:r>
    </w:p>
    <w:tbl>
      <w:tblPr>
        <w:tblStyle w:val="17"/>
        <w:tblW w:w="8862" w:type="dxa"/>
        <w:jc w:val="center"/>
        <w:tblLayout w:type="fixed"/>
        <w:tblCellMar>
          <w:top w:w="0" w:type="dxa"/>
          <w:left w:w="108" w:type="dxa"/>
          <w:bottom w:w="0" w:type="dxa"/>
          <w:right w:w="108" w:type="dxa"/>
        </w:tblCellMar>
      </w:tblPr>
      <w:tblGrid>
        <w:gridCol w:w="789"/>
        <w:gridCol w:w="942"/>
        <w:gridCol w:w="1351"/>
        <w:gridCol w:w="67"/>
        <w:gridCol w:w="1285"/>
        <w:gridCol w:w="567"/>
        <w:gridCol w:w="567"/>
        <w:gridCol w:w="3294"/>
      </w:tblGrid>
      <w:tr>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（一）废液收集系统 </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废液收集槽</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38" w:leftChars="-18" w:right="-97" w:rightChars="-46"/>
              <w:jc w:val="left"/>
              <w:rPr>
                <w:kern w:val="0"/>
                <w:sz w:val="22"/>
                <w:szCs w:val="22"/>
              </w:rPr>
            </w:pPr>
            <w:r>
              <w:rPr>
                <w:kern w:val="0"/>
                <w:sz w:val="22"/>
                <w:szCs w:val="22"/>
              </w:rPr>
              <w:t>400L</w:t>
            </w:r>
            <w:r>
              <w:rPr>
                <w:rFonts w:hint="eastAsia"/>
                <w:kern w:val="0"/>
                <w:sz w:val="22"/>
                <w:szCs w:val="22"/>
              </w:rPr>
              <w:t>，1</w:t>
            </w:r>
            <w:r>
              <w:rPr>
                <w:kern w:val="0"/>
                <w:sz w:val="22"/>
                <w:szCs w:val="22"/>
              </w:rPr>
              <w:t>0mm</w:t>
            </w:r>
            <w:r>
              <w:rPr>
                <w:rFonts w:hint="eastAsia"/>
                <w:kern w:val="0"/>
                <w:sz w:val="22"/>
                <w:szCs w:val="22"/>
              </w:rPr>
              <w:t>厚P</w:t>
            </w:r>
            <w:r>
              <w:rPr>
                <w:kern w:val="0"/>
                <w:sz w:val="22"/>
                <w:szCs w:val="22"/>
              </w:rPr>
              <w:t>P</w:t>
            </w:r>
            <w:r>
              <w:rPr>
                <w:rFonts w:hint="eastAsia"/>
                <w:kern w:val="0"/>
                <w:sz w:val="22"/>
                <w:szCs w:val="22"/>
              </w:rPr>
              <w:t>材质</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 </w:t>
            </w:r>
          </w:p>
        </w:tc>
        <w:tc>
          <w:tcPr>
            <w:tcW w:w="3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kern w:val="0"/>
                <w:sz w:val="22"/>
                <w:szCs w:val="22"/>
              </w:rPr>
            </w:pPr>
            <w:r>
              <w:rPr>
                <w:rFonts w:hint="eastAsia" w:ascii="宋体" w:hAnsi="宋体"/>
                <w:kern w:val="0"/>
                <w:sz w:val="22"/>
                <w:szCs w:val="22"/>
              </w:rPr>
              <w:t>废液收集槽采用</w:t>
            </w:r>
            <w:r>
              <w:rPr>
                <w:kern w:val="0"/>
                <w:sz w:val="22"/>
                <w:szCs w:val="22"/>
              </w:rPr>
              <w:t>PP</w:t>
            </w:r>
            <w:r>
              <w:rPr>
                <w:rFonts w:hint="eastAsia" w:ascii="宋体" w:hAnsi="宋体"/>
                <w:kern w:val="0"/>
                <w:sz w:val="22"/>
                <w:szCs w:val="22"/>
              </w:rPr>
              <w:t>材质，具有过滤及自动冲洗功能。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废液分类存贮罐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2000L</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3</w:t>
            </w:r>
          </w:p>
        </w:tc>
        <w:tc>
          <w:tcPr>
            <w:tcW w:w="3294" w:type="dxa"/>
            <w:vMerge w:val="restart"/>
            <w:tcBorders>
              <w:top w:val="single" w:color="auto" w:sz="4" w:space="0"/>
              <w:left w:val="single" w:color="auto" w:sz="4" w:space="0"/>
              <w:right w:val="single" w:color="auto" w:sz="4" w:space="0"/>
            </w:tcBorders>
            <w:vAlign w:val="center"/>
          </w:tcPr>
          <w:p>
            <w:pPr>
              <w:widowControl/>
              <w:jc w:val="left"/>
              <w:rPr>
                <w:kern w:val="0"/>
                <w:sz w:val="22"/>
                <w:szCs w:val="22"/>
              </w:rPr>
            </w:pPr>
            <w:r>
              <w:rPr>
                <w:rFonts w:hint="eastAsia" w:ascii="宋体" w:hAnsi="宋体"/>
                <w:kern w:val="0"/>
                <w:sz w:val="22"/>
                <w:szCs w:val="22"/>
              </w:rPr>
              <w:t>实验废液分类存贮罐</w:t>
            </w:r>
            <w:r>
              <w:rPr>
                <w:rFonts w:hint="eastAsia" w:ascii="宋体" w:hAnsi="宋体"/>
                <w:kern w:val="0"/>
                <w:sz w:val="22"/>
                <w:szCs w:val="22"/>
                <w:lang w:eastAsia="zh-CN"/>
              </w:rPr>
              <w:t>，</w:t>
            </w:r>
            <w:r>
              <w:rPr>
                <w:rFonts w:hint="eastAsia"/>
                <w:kern w:val="0"/>
                <w:sz w:val="22"/>
                <w:szCs w:val="22"/>
                <w:lang w:eastAsia="zh-CN"/>
              </w:rPr>
              <w:t>聚丙烯</w:t>
            </w:r>
            <w:r>
              <w:rPr>
                <w:rFonts w:hint="eastAsia"/>
                <w:kern w:val="0"/>
                <w:sz w:val="22"/>
                <w:szCs w:val="22"/>
                <w:lang w:val="en-US" w:eastAsia="zh-CN"/>
              </w:rPr>
              <w:t>PPH缠绕</w:t>
            </w:r>
            <w:r>
              <w:rPr>
                <w:rFonts w:hint="eastAsia" w:ascii="宋体" w:hAnsi="宋体"/>
                <w:kern w:val="0"/>
                <w:sz w:val="22"/>
                <w:szCs w:val="22"/>
              </w:rPr>
              <w:t>材质，单套贮罐存贮容量为</w:t>
            </w:r>
            <w:r>
              <w:rPr>
                <w:kern w:val="0"/>
                <w:sz w:val="22"/>
                <w:szCs w:val="22"/>
              </w:rPr>
              <w:t>2m</w:t>
            </w:r>
            <w:r>
              <w:rPr>
                <w:kern w:val="0"/>
                <w:sz w:val="22"/>
                <w:szCs w:val="22"/>
                <w:vertAlign w:val="superscript"/>
              </w:rPr>
              <w:t>3</w:t>
            </w:r>
            <w:r>
              <w:rPr>
                <w:rFonts w:hint="eastAsia" w:ascii="宋体" w:hAnsi="宋体"/>
                <w:kern w:val="0"/>
                <w:sz w:val="22"/>
                <w:szCs w:val="22"/>
              </w:rPr>
              <w:t>，配备</w:t>
            </w:r>
            <w:r>
              <w:rPr>
                <w:rFonts w:hint="eastAsia" w:ascii="宋体" w:hAnsi="宋体"/>
                <w:kern w:val="0"/>
                <w:sz w:val="22"/>
                <w:szCs w:val="22"/>
                <w:lang w:eastAsia="zh-CN"/>
              </w:rPr>
              <w:t>知名品牌磁翻板</w:t>
            </w:r>
            <w:r>
              <w:rPr>
                <w:rFonts w:hint="eastAsia" w:ascii="宋体" w:hAnsi="宋体"/>
                <w:kern w:val="0"/>
                <w:sz w:val="22"/>
                <w:szCs w:val="22"/>
              </w:rPr>
              <w:t>液位</w:t>
            </w:r>
            <w:r>
              <w:rPr>
                <w:rFonts w:hint="eastAsia" w:ascii="宋体" w:hAnsi="宋体"/>
                <w:kern w:val="0"/>
                <w:sz w:val="22"/>
                <w:szCs w:val="22"/>
                <w:lang w:eastAsia="zh-CN"/>
              </w:rPr>
              <w:t>计就地显示和配套液位传感器，</w:t>
            </w:r>
            <w:r>
              <w:rPr>
                <w:rFonts w:hint="eastAsia" w:ascii="宋体" w:hAnsi="宋体"/>
                <w:kern w:val="0"/>
                <w:sz w:val="22"/>
                <w:szCs w:val="22"/>
              </w:rPr>
              <w:t>及罐体压力平衡装置。</w:t>
            </w:r>
            <w:r>
              <w:rPr>
                <w:rFonts w:hint="eastAsia" w:ascii="宋体" w:hAnsi="宋体"/>
                <w:kern w:val="0"/>
                <w:sz w:val="22"/>
                <w:szCs w:val="22"/>
                <w:lang w:eastAsia="zh-CN"/>
              </w:rPr>
              <w:t>配备</w:t>
            </w:r>
            <w:r>
              <w:rPr>
                <w:rFonts w:hint="eastAsia" w:ascii="宋体" w:hAnsi="宋体"/>
                <w:kern w:val="0"/>
                <w:sz w:val="22"/>
                <w:szCs w:val="22"/>
                <w:lang w:val="en-US" w:eastAsia="zh-CN"/>
              </w:rPr>
              <w:t>3套变频</w:t>
            </w:r>
            <w:r>
              <w:rPr>
                <w:rFonts w:hint="eastAsia" w:ascii="宋体" w:hAnsi="宋体"/>
                <w:kern w:val="0"/>
                <w:sz w:val="22"/>
                <w:szCs w:val="22"/>
                <w:lang w:eastAsia="zh-CN"/>
              </w:rPr>
              <w:t>机械搅拌器，搅拌桨使用碳钢衬塑材质。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贮罐液位计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38" w:leftChars="-18" w:right="-97" w:rightChars="-46"/>
              <w:jc w:val="left"/>
              <w:rPr>
                <w:kern w:val="0"/>
                <w:sz w:val="22"/>
                <w:szCs w:val="22"/>
              </w:rPr>
            </w:pPr>
            <w:r>
              <w:rPr>
                <w:rFonts w:hint="eastAsia"/>
                <w:kern w:val="0"/>
                <w:sz w:val="22"/>
                <w:szCs w:val="22"/>
              </w:rPr>
              <w:t>0</w:t>
            </w:r>
            <w:r>
              <w:rPr>
                <w:kern w:val="0"/>
                <w:sz w:val="22"/>
                <w:szCs w:val="22"/>
              </w:rPr>
              <w:t>-2</w:t>
            </w:r>
            <w:r>
              <w:rPr>
                <w:rFonts w:hint="eastAsia"/>
                <w:kern w:val="0"/>
                <w:sz w:val="22"/>
                <w:szCs w:val="22"/>
              </w:rPr>
              <w:t>米,防腐，远传电信号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3</w:t>
            </w:r>
          </w:p>
        </w:tc>
        <w:tc>
          <w:tcPr>
            <w:tcW w:w="3294" w:type="dxa"/>
            <w:vMerge w:val="continue"/>
            <w:tcBorders>
              <w:left w:val="single" w:color="auto" w:sz="4" w:space="0"/>
              <w:bottom w:val="single" w:color="auto" w:sz="4" w:space="0"/>
              <w:right w:val="single" w:color="auto" w:sz="4" w:space="0"/>
            </w:tcBorders>
            <w:vAlign w:val="center"/>
          </w:tcPr>
          <w:p>
            <w:pPr>
              <w:widowControl/>
              <w:jc w:val="left"/>
              <w:rPr>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废液提升泵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QBY40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 xml:space="preserve">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宋体"/>
                <w:kern w:val="0"/>
                <w:sz w:val="22"/>
                <w:szCs w:val="22"/>
                <w:lang w:val="en-US" w:eastAsia="zh-CN"/>
              </w:rPr>
            </w:pPr>
            <w:r>
              <w:rPr>
                <w:rFonts w:hint="eastAsia" w:ascii="宋体" w:hAnsi="宋体"/>
                <w:kern w:val="0"/>
                <w:sz w:val="22"/>
                <w:szCs w:val="22"/>
              </w:rPr>
              <w:t>气动隔膜泵，外壳为聚丙烯材质，隔膜为聚四氟乙烯材质</w:t>
            </w:r>
            <w:r>
              <w:rPr>
                <w:rFonts w:hint="eastAsia" w:ascii="宋体" w:hAnsi="宋体"/>
                <w:kern w:val="0"/>
                <w:sz w:val="22"/>
                <w:szCs w:val="22"/>
                <w:lang w:eastAsia="zh-CN"/>
              </w:rPr>
              <w:t>。采用国内知名泵阀厂家产品。</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废液提升泵配套气源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38" w:leftChars="-18" w:right="-97" w:rightChars="-46"/>
              <w:jc w:val="left"/>
            </w:pPr>
            <w:r>
              <w:rPr>
                <w:rFonts w:hint="eastAsia"/>
                <w:kern w:val="0"/>
                <w:sz w:val="22"/>
                <w:szCs w:val="22"/>
              </w:rPr>
              <w:t>0</w:t>
            </w:r>
            <w:r>
              <w:rPr>
                <w:kern w:val="0"/>
                <w:sz w:val="22"/>
                <w:szCs w:val="22"/>
              </w:rPr>
              <w:t>.8MPa</w:t>
            </w:r>
            <w:r>
              <w:rPr>
                <w:rFonts w:hint="eastAsia"/>
                <w:kern w:val="0"/>
                <w:sz w:val="22"/>
                <w:szCs w:val="22"/>
              </w:rPr>
              <w:t>,0</w:t>
            </w:r>
            <w:r>
              <w:rPr>
                <w:kern w:val="0"/>
                <w:sz w:val="22"/>
                <w:szCs w:val="22"/>
              </w:rPr>
              <w:t>.6m</w:t>
            </w:r>
            <w:r>
              <w:rPr>
                <w:kern w:val="0"/>
                <w:sz w:val="22"/>
                <w:szCs w:val="22"/>
                <w:vertAlign w:val="superscript"/>
              </w:rPr>
              <w:t>3</w:t>
            </w:r>
            <w:r>
              <w:rPr>
                <w:kern w:val="0"/>
                <w:sz w:val="22"/>
                <w:szCs w:val="22"/>
              </w:rPr>
              <w:t>/min</w:t>
            </w:r>
            <w:r>
              <w:rPr>
                <w:rFonts w:hint="eastAsia"/>
                <w:kern w:val="0"/>
                <w:sz w:val="22"/>
                <w:szCs w:val="22"/>
              </w:rPr>
              <w:t>，静音</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螺杆气泵1台，除油除湿设备1套，与废水处理系统共用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ascii="宋体" w:hAnsi="宋体" w:cs="宋体"/>
                <w:kern w:val="0"/>
                <w:sz w:val="22"/>
                <w:szCs w:val="22"/>
              </w:rPr>
              <w:t>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D</w:t>
            </w:r>
            <w:r>
              <w:rPr>
                <w:kern w:val="0"/>
                <w:sz w:val="22"/>
                <w:szCs w:val="22"/>
              </w:rPr>
              <w:t>N25</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3</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ascii="宋体" w:hAnsi="宋体"/>
                <w:kern w:val="0"/>
                <w:sz w:val="22"/>
                <w:szCs w:val="22"/>
              </w:rPr>
              <w:t>电动、手动阀门为聚四氟阀体和密封件。</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ascii="宋体" w:hAnsi="宋体" w:cs="宋体"/>
                <w:kern w:val="0"/>
                <w:sz w:val="22"/>
                <w:szCs w:val="22"/>
              </w:rPr>
              <w:t>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废液收集桶</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30L</w:t>
            </w:r>
            <w:r>
              <w:rPr>
                <w:rFonts w:hint="eastAsia"/>
                <w:kern w:val="0"/>
                <w:sz w:val="22"/>
                <w:szCs w:val="22"/>
              </w:rPr>
              <w:t>，P</w:t>
            </w:r>
            <w:r>
              <w:rPr>
                <w:kern w:val="0"/>
                <w:sz w:val="22"/>
                <w:szCs w:val="22"/>
              </w:rPr>
              <w:t>E</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60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kern w:val="0"/>
                <w:sz w:val="22"/>
                <w:szCs w:val="22"/>
              </w:rPr>
              <w:t>/</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安全设施</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　</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2"/>
                <w:szCs w:val="22"/>
              </w:rPr>
            </w:pPr>
            <w:r>
              <w:rPr>
                <w:rFonts w:hint="eastAsia" w:ascii="宋体" w:hAnsi="宋体"/>
                <w:kern w:val="0"/>
                <w:sz w:val="22"/>
                <w:szCs w:val="22"/>
              </w:rPr>
              <w:t>实验废液收集系统全封闭。安全设施包括压力保护、废气收集、泄漏防止、护栏护套以及警告警示设施及标牌等。</w:t>
            </w:r>
          </w:p>
        </w:tc>
      </w:tr>
      <w:tr>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（二）废水处理系统  </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水池液位计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0</w:t>
            </w:r>
            <w:r>
              <w:rPr>
                <w:kern w:val="0"/>
                <w:sz w:val="22"/>
                <w:szCs w:val="22"/>
              </w:rPr>
              <w:t>-5</w:t>
            </w:r>
            <w:r>
              <w:rPr>
                <w:rFonts w:hint="eastAsia"/>
                <w:kern w:val="0"/>
                <w:sz w:val="22"/>
                <w:szCs w:val="22"/>
              </w:rPr>
              <w:t>米，防腐，分体式</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3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设置接线盒，便于更换。</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废水提升泵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32-25-105F</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2</w:t>
            </w:r>
          </w:p>
        </w:tc>
        <w:tc>
          <w:tcPr>
            <w:tcW w:w="3294" w:type="dxa"/>
            <w:vMerge w:val="restart"/>
            <w:tcBorders>
              <w:top w:val="single" w:color="auto" w:sz="4" w:space="0"/>
              <w:left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lang w:eastAsia="zh-CN"/>
              </w:rPr>
              <w:t>国内知名品牌，</w:t>
            </w:r>
            <w:r>
              <w:rPr>
                <w:rFonts w:hint="eastAsia" w:ascii="宋体" w:hAnsi="宋体" w:cs="宋体"/>
                <w:kern w:val="0"/>
                <w:sz w:val="22"/>
                <w:szCs w:val="22"/>
              </w:rPr>
              <w:t>废水提升泵为聚丙烯材质，配30L以上PP引水罐，进水滤网活接易拆卸清理。</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引水罐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3</w:t>
            </w:r>
            <w:r>
              <w:rPr>
                <w:kern w:val="0"/>
                <w:sz w:val="22"/>
                <w:szCs w:val="22"/>
              </w:rPr>
              <w:t>0L</w:t>
            </w:r>
            <w:r>
              <w:rPr>
                <w:rFonts w:hint="eastAsia"/>
                <w:kern w:val="0"/>
                <w:sz w:val="22"/>
                <w:szCs w:val="22"/>
              </w:rPr>
              <w:t>，</w:t>
            </w:r>
            <w:r>
              <w:rPr>
                <w:kern w:val="0"/>
                <w:sz w:val="22"/>
                <w:szCs w:val="22"/>
              </w:rPr>
              <w:t>PP</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3</w:t>
            </w:r>
          </w:p>
        </w:tc>
        <w:tc>
          <w:tcPr>
            <w:tcW w:w="3294" w:type="dxa"/>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进水流量计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1" w:leftChars="-18" w:right="-97" w:rightChars="-46" w:hanging="37" w:hangingChars="17"/>
              <w:jc w:val="left"/>
              <w:rPr>
                <w:kern w:val="0"/>
                <w:sz w:val="22"/>
                <w:szCs w:val="22"/>
              </w:rPr>
            </w:pPr>
            <w:r>
              <w:rPr>
                <w:rFonts w:hint="eastAsia"/>
                <w:kern w:val="0"/>
                <w:sz w:val="22"/>
                <w:szCs w:val="22"/>
              </w:rPr>
              <w:t>0</w:t>
            </w:r>
            <w:r>
              <w:rPr>
                <w:kern w:val="0"/>
                <w:sz w:val="22"/>
                <w:szCs w:val="22"/>
              </w:rPr>
              <w:t>-5m</w:t>
            </w:r>
            <w:r>
              <w:rPr>
                <w:kern w:val="0"/>
                <w:sz w:val="22"/>
                <w:szCs w:val="22"/>
                <w:vertAlign w:val="superscript"/>
              </w:rPr>
              <w:t>3</w:t>
            </w:r>
            <w:r>
              <w:rPr>
                <w:kern w:val="0"/>
                <w:sz w:val="22"/>
                <w:szCs w:val="22"/>
              </w:rPr>
              <w:t>/h</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电磁流量计，过流面为PP材质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电动调节阀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right="-97" w:rightChars="-46"/>
              <w:jc w:val="left"/>
              <w:rPr>
                <w:kern w:val="0"/>
                <w:sz w:val="22"/>
                <w:szCs w:val="22"/>
              </w:rPr>
            </w:pPr>
            <w:r>
              <w:rPr>
                <w:rFonts w:hint="eastAsia"/>
                <w:kern w:val="0"/>
                <w:sz w:val="22"/>
                <w:szCs w:val="22"/>
              </w:rPr>
              <w:t>D</w:t>
            </w:r>
            <w:r>
              <w:rPr>
                <w:kern w:val="0"/>
                <w:sz w:val="22"/>
                <w:szCs w:val="22"/>
              </w:rPr>
              <w:t>N25</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lang w:eastAsia="zh-CN"/>
              </w:rPr>
              <w:t>国内知名品牌，</w:t>
            </w:r>
            <w:r>
              <w:rPr>
                <w:rFonts w:hint="eastAsia" w:ascii="宋体" w:hAnsi="宋体" w:cs="宋体"/>
                <w:kern w:val="0"/>
                <w:sz w:val="22"/>
                <w:szCs w:val="22"/>
              </w:rPr>
              <w:t>阀体和密封件均为PP材质，流量计及电动调节阀，组成具有进水流量自动调节功能的自动控制单元。</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氧化还原反应器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38" w:leftChars="-18" w:right="-97" w:rightChars="-46"/>
              <w:jc w:val="left"/>
              <w:rPr>
                <w:kern w:val="0"/>
                <w:sz w:val="22"/>
                <w:szCs w:val="22"/>
              </w:rPr>
            </w:pPr>
            <w:r>
              <w:rPr>
                <w:kern w:val="0"/>
                <w:sz w:val="22"/>
                <w:szCs w:val="22"/>
              </w:rPr>
              <w:t>1000L</w:t>
            </w:r>
            <w:r>
              <w:rPr>
                <w:rFonts w:hint="eastAsia"/>
                <w:kern w:val="0"/>
                <w:sz w:val="22"/>
                <w:szCs w:val="22"/>
              </w:rPr>
              <w:t>，1</w:t>
            </w:r>
            <w:r>
              <w:rPr>
                <w:kern w:val="0"/>
                <w:sz w:val="22"/>
                <w:szCs w:val="22"/>
              </w:rPr>
              <w:t>5</w:t>
            </w:r>
            <w:r>
              <w:rPr>
                <w:rFonts w:hint="eastAsia"/>
                <w:kern w:val="0"/>
                <w:sz w:val="22"/>
                <w:szCs w:val="22"/>
              </w:rPr>
              <w:t>mm厚PP材质</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水处理设备首选方形，现场布置规范、整洁，采用高位自动溢流，减少中间提升，氧化还原反应器采用PP材质，有效容积</w:t>
            </w:r>
            <w:r>
              <w:rPr>
                <w:rFonts w:ascii="宋体" w:hAnsi="宋体" w:cs="宋体"/>
                <w:kern w:val="0"/>
                <w:sz w:val="22"/>
                <w:szCs w:val="22"/>
              </w:rPr>
              <w:t>1.0</w:t>
            </w:r>
            <w:r>
              <w:rPr>
                <w:rFonts w:hint="eastAsia" w:ascii="宋体" w:hAnsi="宋体" w:cs="宋体"/>
                <w:kern w:val="0"/>
                <w:sz w:val="22"/>
                <w:szCs w:val="22"/>
              </w:rPr>
              <w:t>m³，配备变频搅拌、液位控制、自动排水以及pH和ORP在线检测装置。</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氧化还原反应器液位计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right="-97" w:rightChars="-46"/>
              <w:jc w:val="left"/>
              <w:rPr>
                <w:kern w:val="0"/>
                <w:sz w:val="22"/>
                <w:szCs w:val="22"/>
              </w:rPr>
            </w:pPr>
            <w:r>
              <w:rPr>
                <w:rFonts w:hint="eastAsia"/>
                <w:kern w:val="0"/>
                <w:sz w:val="22"/>
                <w:szCs w:val="22"/>
              </w:rPr>
              <w:t>0-</w:t>
            </w:r>
            <w:r>
              <w:rPr>
                <w:kern w:val="0"/>
                <w:sz w:val="22"/>
                <w:szCs w:val="22"/>
              </w:rPr>
              <w:t>3</w:t>
            </w:r>
            <w:r>
              <w:rPr>
                <w:rFonts w:hint="eastAsia"/>
                <w:kern w:val="0"/>
                <w:sz w:val="22"/>
                <w:szCs w:val="22"/>
              </w:rPr>
              <w:t>米,防腐，远传电信号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rPr>
          <w:trHeight w:val="92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变频搅拌机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0</w:t>
            </w:r>
            <w:r>
              <w:rPr>
                <w:kern w:val="0"/>
                <w:sz w:val="22"/>
                <w:szCs w:val="22"/>
              </w:rPr>
              <w:t>-100r/min</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两级物化处理设备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2.0m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两级物化处理设备</w:t>
            </w:r>
            <w:r>
              <w:rPr>
                <w:rFonts w:hint="eastAsia"/>
                <w:kern w:val="0"/>
                <w:sz w:val="22"/>
                <w:szCs w:val="22"/>
              </w:rPr>
              <w:t>1</w:t>
            </w:r>
            <w:r>
              <w:rPr>
                <w:kern w:val="0"/>
                <w:sz w:val="22"/>
                <w:szCs w:val="22"/>
              </w:rPr>
              <w:t>5</w:t>
            </w:r>
            <w:r>
              <w:rPr>
                <w:rFonts w:hint="eastAsia"/>
                <w:kern w:val="0"/>
                <w:sz w:val="22"/>
                <w:szCs w:val="22"/>
              </w:rPr>
              <w:t>mm厚</w:t>
            </w:r>
            <w:r>
              <w:rPr>
                <w:rFonts w:hint="eastAsia" w:ascii="宋体" w:hAnsi="宋体" w:cs="宋体"/>
                <w:kern w:val="0"/>
                <w:sz w:val="22"/>
                <w:szCs w:val="22"/>
              </w:rPr>
              <w:t>PP材质，包括两级pH值调整、微电解反应器、芬顿反应器和混凝沉淀器，</w:t>
            </w:r>
            <w:r>
              <w:rPr>
                <w:rFonts w:hint="eastAsia" w:ascii="宋体" w:hAnsi="宋体" w:cs="宋体"/>
                <w:kern w:val="0"/>
                <w:sz w:val="22"/>
                <w:szCs w:val="22"/>
                <w:lang w:eastAsia="zh-CN"/>
              </w:rPr>
              <w:t>铁碳微电解系统配备压缩空气反冲系统。整个系统</w:t>
            </w:r>
            <w:r>
              <w:rPr>
                <w:rFonts w:hint="eastAsia" w:ascii="宋体" w:hAnsi="宋体" w:cs="宋体"/>
                <w:kern w:val="0"/>
                <w:sz w:val="22"/>
                <w:szCs w:val="22"/>
              </w:rPr>
              <w:t>具有自动搅拌、自动加药、自动排泥功能。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气泵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Q≥0.64m</w:t>
            </w:r>
            <w:r>
              <w:rPr>
                <w:rFonts w:hint="eastAsia"/>
                <w:kern w:val="0"/>
                <w:sz w:val="22"/>
                <w:szCs w:val="22"/>
                <w:vertAlign w:val="superscript"/>
              </w:rPr>
              <w:t>3</w:t>
            </w:r>
            <w:r>
              <w:rPr>
                <w:rFonts w:hint="eastAsia"/>
                <w:kern w:val="0"/>
                <w:sz w:val="22"/>
                <w:szCs w:val="22"/>
              </w:rPr>
              <w:t>/min，全压≥20kPa，三叶罗茨风机，配防腐隔声罩，并加减震垫，采用4级电机，配合变频器使用</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搅拌机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6</w:t>
            </w:r>
            <w:r>
              <w:rPr>
                <w:kern w:val="0"/>
                <w:sz w:val="22"/>
                <w:szCs w:val="22"/>
              </w:rPr>
              <w:t>0r</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三级生化处理设备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2.0m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三级生化处理设备包括厌氧、缺氧和好氧反应器及生化沉淀器，箱体采用防腐等级、力学性能不低于10mmQ235碳钢的材质，优先选择304不锈钢，内部磺化漆防腐，外部氟碳漆防腐。包括水下搅拌机、曝气风机（罗茨风机采取消音、隔音措施）等，具有自动调节曝气量、泥水自动循环、自动排泥功能，物化+生化处理池总停留时间不小于20h。</w:t>
            </w:r>
            <w:r>
              <w:rPr>
                <w:rFonts w:hint="eastAsia" w:ascii="宋体" w:hAnsi="宋体" w:cs="宋体"/>
                <w:kern w:val="0"/>
                <w:sz w:val="22"/>
                <w:szCs w:val="22"/>
                <w:lang w:eastAsia="zh-CN"/>
              </w:rPr>
              <w:t>考虑厌氧池进水</w:t>
            </w:r>
            <w:r>
              <w:rPr>
                <w:rFonts w:hint="eastAsia" w:ascii="宋体" w:hAnsi="宋体" w:cs="宋体"/>
                <w:kern w:val="0"/>
                <w:sz w:val="22"/>
                <w:szCs w:val="22"/>
                <w:lang w:val="en-US" w:eastAsia="zh-CN"/>
              </w:rPr>
              <w:t>带电加热装置和温控系统。</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潜水搅拌机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Q</w:t>
            </w:r>
            <w:r>
              <w:rPr>
                <w:kern w:val="0"/>
                <w:sz w:val="22"/>
                <w:szCs w:val="22"/>
              </w:rPr>
              <w:t>JB0260/3</w:t>
            </w:r>
          </w:p>
        </w:tc>
        <w:tc>
          <w:tcPr>
            <w:tcW w:w="567"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曝气机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Q≥1m</w:t>
            </w:r>
            <w:r>
              <w:rPr>
                <w:rFonts w:hint="eastAsia"/>
                <w:kern w:val="0"/>
                <w:sz w:val="22"/>
                <w:szCs w:val="22"/>
                <w:vertAlign w:val="superscript"/>
              </w:rPr>
              <w:t>3</w:t>
            </w:r>
            <w:r>
              <w:rPr>
                <w:rFonts w:hint="eastAsia"/>
                <w:kern w:val="0"/>
                <w:sz w:val="22"/>
                <w:szCs w:val="22"/>
              </w:rPr>
              <w:t>/min，全压≥20kPa，三叶罗茨风机，配防腐隔声罩，并加减震垫，采用4级电机，配合变频器使用</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加药罐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1000L</w:t>
            </w:r>
            <w:r>
              <w:rPr>
                <w:rFonts w:hint="eastAsia"/>
                <w:kern w:val="0"/>
                <w:sz w:val="22"/>
                <w:szCs w:val="22"/>
              </w:rPr>
              <w:t>，含搅拌机</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32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全自动加药设备包括PE加药罐、搅拌机、液位计、计量泵和加药管等，具有自动配药、自动按比例加药功能。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加药泵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0</w:t>
            </w:r>
            <w:r>
              <w:rPr>
                <w:kern w:val="0"/>
                <w:sz w:val="22"/>
                <w:szCs w:val="22"/>
              </w:rPr>
              <w:t>-50L/h</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5</w:t>
            </w:r>
          </w:p>
        </w:tc>
        <w:tc>
          <w:tcPr>
            <w:tcW w:w="32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ind w:leftChars="-20" w:right="-172" w:rightChars="-82" w:hanging="41" w:hangingChars="19"/>
              <w:jc w:val="left"/>
              <w:rPr>
                <w:rFonts w:ascii="宋体" w:hAnsi="宋体" w:cs="宋体"/>
                <w:kern w:val="0"/>
                <w:sz w:val="22"/>
                <w:szCs w:val="22"/>
              </w:rPr>
            </w:pPr>
            <w:r>
              <w:rPr>
                <w:rFonts w:hint="eastAsia" w:ascii="宋体" w:hAnsi="宋体" w:cs="宋体"/>
                <w:kern w:val="0"/>
                <w:sz w:val="22"/>
                <w:szCs w:val="22"/>
              </w:rPr>
              <w:t>全自动过滤器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2.0m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全自动过滤器采用Q235材质，改性石英砂滤料，具有自动进水自动反冲洗功能。</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消毒装置</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1500L</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消毒装置采用PP材质，接触法次氯酸钠消毒工艺。</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污泥脱水机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10m</w:t>
            </w:r>
            <w:r>
              <w:rPr>
                <w:kern w:val="0"/>
                <w:sz w:val="22"/>
                <w:szCs w:val="22"/>
                <w:vertAlign w:val="superscript"/>
              </w:rPr>
              <w:t>2</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污泥脱水设备含螺杆泵、</w:t>
            </w:r>
            <w:r>
              <w:rPr>
                <w:rFonts w:hint="eastAsia" w:ascii="宋体" w:hAnsi="宋体" w:cs="宋体"/>
                <w:kern w:val="0"/>
                <w:sz w:val="22"/>
                <w:szCs w:val="22"/>
                <w:lang w:eastAsia="zh-CN"/>
              </w:rPr>
              <w:t>半自动液压箱式</w:t>
            </w:r>
            <w:r>
              <w:rPr>
                <w:rFonts w:hint="eastAsia" w:ascii="宋体" w:hAnsi="宋体" w:cs="宋体"/>
                <w:kern w:val="0"/>
                <w:sz w:val="22"/>
                <w:szCs w:val="22"/>
              </w:rPr>
              <w:t>压滤机和污泥收集槽。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污泥泵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G25-1</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ind w:leftChars="-20" w:right="-172" w:rightChars="-82" w:hanging="41" w:hangingChars="19"/>
              <w:jc w:val="left"/>
              <w:rPr>
                <w:rFonts w:ascii="宋体" w:hAnsi="宋体" w:cs="宋体"/>
                <w:kern w:val="0"/>
                <w:sz w:val="22"/>
                <w:szCs w:val="22"/>
              </w:rPr>
            </w:pPr>
            <w:r>
              <w:rPr>
                <w:rFonts w:hint="eastAsia" w:ascii="宋体" w:hAnsi="宋体" w:cs="宋体"/>
                <w:kern w:val="0"/>
                <w:sz w:val="22"/>
                <w:szCs w:val="22"/>
              </w:rPr>
              <w:t>管道及管配件</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DN25-DN100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手动阀门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1" w:leftChars="-18" w:right="-97" w:rightChars="-46" w:hanging="37" w:hangingChars="17"/>
              <w:jc w:val="left"/>
              <w:rPr>
                <w:kern w:val="0"/>
                <w:sz w:val="22"/>
                <w:szCs w:val="22"/>
              </w:rPr>
            </w:pPr>
            <w:r>
              <w:rPr>
                <w:kern w:val="0"/>
                <w:sz w:val="22"/>
                <w:szCs w:val="22"/>
              </w:rPr>
              <w:t>DN25-DN100</w:t>
            </w:r>
            <w:r>
              <w:rPr>
                <w:rFonts w:hint="eastAsia"/>
                <w:kern w:val="0"/>
                <w:sz w:val="22"/>
                <w:szCs w:val="22"/>
              </w:rPr>
              <w:t>，P</w:t>
            </w:r>
            <w:r>
              <w:rPr>
                <w:kern w:val="0"/>
                <w:sz w:val="22"/>
                <w:szCs w:val="22"/>
              </w:rPr>
              <w:t>P</w:t>
            </w:r>
            <w:r>
              <w:rPr>
                <w:rFonts w:hint="eastAsia"/>
                <w:kern w:val="0"/>
                <w:sz w:val="22"/>
                <w:szCs w:val="22"/>
              </w:rPr>
              <w:t>,</w:t>
            </w:r>
            <w:r>
              <w:rPr>
                <w:kern w:val="0"/>
                <w:sz w:val="22"/>
                <w:szCs w:val="22"/>
              </w:rPr>
              <w:t>UPVC</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74</w:t>
            </w:r>
          </w:p>
        </w:tc>
        <w:tc>
          <w:tcPr>
            <w:tcW w:w="32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手、电动阀门均采用PP和UPVC防腐材质。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DN25</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6</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DN50</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DN80</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32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电磁阀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right="-97" w:rightChars="-46"/>
              <w:jc w:val="left"/>
              <w:rPr>
                <w:kern w:val="0"/>
                <w:sz w:val="22"/>
                <w:szCs w:val="22"/>
              </w:rPr>
            </w:pPr>
            <w:r>
              <w:rPr>
                <w:kern w:val="0"/>
                <w:sz w:val="22"/>
                <w:szCs w:val="22"/>
              </w:rPr>
              <w:t>DN15</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18</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走道、扶梯、栏杆等</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D1000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按图纸要求</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中间水罐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kern w:val="0"/>
                <w:sz w:val="22"/>
                <w:szCs w:val="22"/>
              </w:rPr>
              <w:t>2000L</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 xml:space="preserve">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PE加厚</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szCs w:val="22"/>
              </w:rPr>
            </w:pPr>
            <w:r>
              <w:rPr>
                <w:rFonts w:hint="eastAsia" w:ascii="宋体" w:hAnsi="宋体" w:cs="宋体"/>
                <w:kern w:val="0"/>
                <w:sz w:val="22"/>
                <w:szCs w:val="22"/>
              </w:rPr>
              <w:t>中间水罐液位计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ind w:right="-97" w:rightChars="-46"/>
              <w:jc w:val="left"/>
              <w:rPr>
                <w:kern w:val="0"/>
                <w:sz w:val="22"/>
                <w:szCs w:val="22"/>
              </w:rPr>
            </w:pPr>
            <w:r>
              <w:rPr>
                <w:rFonts w:hint="eastAsia"/>
                <w:kern w:val="0"/>
                <w:sz w:val="22"/>
                <w:szCs w:val="22"/>
              </w:rPr>
              <w:t>0-2米,防腐，远传电信号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 xml:space="preserve">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ind w:leftChars="-20" w:right="-172" w:rightChars="-82" w:hanging="41" w:hangingChars="19"/>
              <w:jc w:val="left"/>
              <w:rPr>
                <w:rFonts w:ascii="宋体" w:hAnsi="宋体" w:cs="宋体"/>
                <w:kern w:val="0"/>
                <w:sz w:val="22"/>
                <w:szCs w:val="22"/>
              </w:rPr>
            </w:pPr>
            <w:r>
              <w:rPr>
                <w:rFonts w:hint="eastAsia" w:ascii="宋体" w:hAnsi="宋体" w:cs="宋体"/>
                <w:kern w:val="0"/>
                <w:sz w:val="22"/>
                <w:szCs w:val="22"/>
              </w:rPr>
              <w:t>中间水罐水泵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kern w:val="0"/>
                <w:sz w:val="22"/>
                <w:szCs w:val="22"/>
              </w:rPr>
            </w:pPr>
            <w:r>
              <w:rPr>
                <w:rFonts w:hint="eastAsia"/>
                <w:kern w:val="0"/>
                <w:sz w:val="22"/>
                <w:szCs w:val="22"/>
              </w:rPr>
              <w:t>5</w:t>
            </w:r>
            <w:r>
              <w:rPr>
                <w:kern w:val="0"/>
                <w:sz w:val="22"/>
                <w:szCs w:val="22"/>
              </w:rPr>
              <w:t>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塑料离心泵</w:t>
            </w:r>
          </w:p>
        </w:tc>
      </w:tr>
      <w:tr>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（三）配电及自控系统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1" w:leftChars="-18" w:right="-97" w:rightChars="-46" w:hanging="37" w:hangingChars="17"/>
              <w:jc w:val="left"/>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-3</w:t>
            </w:r>
            <w:r>
              <w:rPr>
                <w:rFonts w:hint="eastAsia" w:ascii="宋体" w:hAnsi="宋体" w:cs="宋体"/>
                <w:kern w:val="0"/>
                <w:sz w:val="22"/>
                <w:szCs w:val="22"/>
              </w:rPr>
              <w:t>米,超声波一体式</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3294" w:type="dxa"/>
            <w:vMerge w:val="restart"/>
            <w:tcBorders>
              <w:top w:val="nil"/>
              <w:left w:val="nil"/>
              <w:right w:val="single" w:color="auto" w:sz="4" w:space="0"/>
            </w:tcBorders>
            <w:shd w:val="clear" w:color="000000" w:fill="FFFFFF"/>
            <w:vAlign w:val="center"/>
          </w:tcPr>
          <w:p>
            <w:pPr>
              <w:widowControl/>
              <w:jc w:val="center"/>
              <w:rPr>
                <w:rFonts w:hint="eastAsia" w:hAnsi="宋体" w:eastAsia="宋体"/>
                <w:sz w:val="24"/>
                <w:lang w:eastAsia="zh-CN"/>
              </w:rPr>
            </w:pPr>
            <w:r>
              <w:rPr>
                <w:rFonts w:hint="eastAsia" w:ascii="宋体" w:hAnsi="宋体" w:cs="宋体"/>
                <w:kern w:val="0"/>
                <w:sz w:val="22"/>
                <w:szCs w:val="22"/>
              </w:rPr>
              <w:t>液位计、pH、ORP、溶解氧、电导、温度控制器传感器各备用2套</w:t>
            </w:r>
            <w:r>
              <w:rPr>
                <w:rFonts w:hint="eastAsia" w:ascii="宋体" w:hAnsi="宋体" w:cs="宋体"/>
                <w:kern w:val="0"/>
                <w:sz w:val="22"/>
                <w:szCs w:val="22"/>
                <w:lang w:eastAsia="zh-CN"/>
              </w:rPr>
              <w:t>。</w:t>
            </w:r>
            <w:r>
              <w:rPr>
                <w:rFonts w:hint="eastAsia" w:ascii="宋体" w:hAnsi="宋体" w:cs="宋体"/>
                <w:kern w:val="0"/>
                <w:sz w:val="22"/>
                <w:szCs w:val="22"/>
                <w:lang w:val="en-US" w:eastAsia="zh-CN"/>
              </w:rPr>
              <w:t>PLC控制系统采用市场上主流产品。</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压力表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-0.6MPa</w:t>
            </w:r>
            <w:r>
              <w:rPr>
                <w:rFonts w:hint="eastAsia" w:ascii="宋体" w:hAnsi="宋体" w:cs="宋体"/>
                <w:kern w:val="0"/>
                <w:sz w:val="22"/>
                <w:szCs w:val="22"/>
              </w:rPr>
              <w:t>，信号远传</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6</w:t>
            </w:r>
          </w:p>
        </w:tc>
        <w:tc>
          <w:tcPr>
            <w:tcW w:w="3294" w:type="dxa"/>
            <w:vMerge w:val="continue"/>
            <w:tcBorders>
              <w:left w:val="nil"/>
              <w:right w:val="single" w:color="auto" w:sz="4" w:space="0"/>
            </w:tcBorders>
            <w:shd w:val="clear" w:color="000000" w:fill="FFFFFF"/>
            <w:vAlign w:val="center"/>
          </w:tcPr>
          <w:p>
            <w:pPr>
              <w:widowControl/>
              <w:jc w:val="left"/>
              <w:rPr>
                <w:rFonts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压差表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0-0.6MPa，信号远传</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2</w:t>
            </w:r>
          </w:p>
        </w:tc>
        <w:tc>
          <w:tcPr>
            <w:tcW w:w="3294" w:type="dxa"/>
            <w:vMerge w:val="continue"/>
            <w:tcBorders>
              <w:left w:val="nil"/>
              <w:right w:val="single" w:color="auto" w:sz="4" w:space="0"/>
            </w:tcBorders>
            <w:shd w:val="clear" w:color="000000" w:fill="FFFFFF"/>
            <w:vAlign w:val="center"/>
          </w:tcPr>
          <w:p>
            <w:pPr>
              <w:widowControl/>
              <w:jc w:val="left"/>
              <w:rPr>
                <w:rFonts w:hAnsi="宋体"/>
                <w:sz w:val="24"/>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液位开关</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-100mm</w:t>
            </w:r>
            <w:r>
              <w:rPr>
                <w:rFonts w:hint="eastAsia" w:ascii="宋体" w:hAnsi="宋体" w:cs="宋体"/>
                <w:kern w:val="0"/>
                <w:sz w:val="22"/>
                <w:szCs w:val="22"/>
              </w:rPr>
              <w:t>，信号远传</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3294" w:type="dxa"/>
            <w:vMerge w:val="continue"/>
            <w:tcBorders>
              <w:left w:val="nil"/>
              <w:right w:val="single" w:color="auto" w:sz="4" w:space="0"/>
            </w:tcBorders>
            <w:shd w:val="clear" w:color="000000" w:fill="FFFFFF"/>
            <w:vAlign w:val="center"/>
          </w:tcPr>
          <w:p>
            <w:pPr>
              <w:widowControl/>
              <w:jc w:val="left"/>
              <w:rPr>
                <w:rFonts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低压配电柜</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ind w:left="-1" w:leftChars="-18" w:right="-239" w:rightChars="-114" w:hanging="37" w:hangingChars="17"/>
              <w:jc w:val="left"/>
              <w:rPr>
                <w:rFonts w:ascii="宋体" w:hAnsi="宋体" w:cs="宋体"/>
                <w:kern w:val="0"/>
                <w:sz w:val="22"/>
                <w:szCs w:val="22"/>
              </w:rPr>
            </w:pPr>
            <w:r>
              <w:rPr>
                <w:rFonts w:hint="eastAsia" w:ascii="宋体" w:hAnsi="宋体" w:cs="宋体"/>
                <w:kern w:val="0"/>
                <w:sz w:val="22"/>
                <w:szCs w:val="22"/>
              </w:rPr>
              <w:t>2000*800*</w:t>
            </w:r>
            <w:r>
              <w:rPr>
                <w:rFonts w:ascii="宋体" w:hAnsi="宋体" w:cs="宋体"/>
                <w:kern w:val="0"/>
                <w:sz w:val="22"/>
                <w:szCs w:val="22"/>
              </w:rPr>
              <w:t>450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现场控制柜</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ind w:right="-97" w:rightChars="-46"/>
              <w:jc w:val="left"/>
              <w:rPr>
                <w:rFonts w:ascii="宋体" w:hAnsi="宋体" w:cs="宋体"/>
                <w:kern w:val="0"/>
                <w:sz w:val="22"/>
                <w:szCs w:val="22"/>
              </w:rPr>
            </w:pPr>
            <w:r>
              <w:rPr>
                <w:rFonts w:hint="eastAsia" w:ascii="宋体" w:hAnsi="宋体" w:cs="宋体"/>
                <w:kern w:val="0"/>
                <w:sz w:val="22"/>
                <w:szCs w:val="22"/>
              </w:rPr>
              <w:t>400*450*300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pH</w:t>
            </w:r>
            <w:r>
              <w:rPr>
                <w:rFonts w:hint="eastAsia" w:ascii="宋体" w:hAnsi="宋体" w:cs="宋体"/>
                <w:kern w:val="0"/>
                <w:sz w:val="22"/>
                <w:szCs w:val="22"/>
              </w:rPr>
              <w:t>控制仪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-14</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O</w:t>
            </w:r>
            <w:r>
              <w:rPr>
                <w:rFonts w:ascii="宋体" w:hAnsi="宋体" w:cs="宋体"/>
                <w:kern w:val="0"/>
                <w:sz w:val="22"/>
                <w:szCs w:val="22"/>
              </w:rPr>
              <w:t>RP</w:t>
            </w:r>
            <w:r>
              <w:rPr>
                <w:rFonts w:hint="eastAsia" w:ascii="宋体" w:hAnsi="宋体" w:cs="宋体"/>
                <w:kern w:val="0"/>
                <w:sz w:val="22"/>
                <w:szCs w:val="22"/>
              </w:rPr>
              <w:t>控制仪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szCs w:val="22"/>
              </w:rPr>
            </w:pPr>
            <w:r>
              <w:rPr>
                <w:rFonts w:ascii="宋体" w:hAnsi="宋体" w:cs="宋体"/>
                <w:kern w:val="0"/>
                <w:sz w:val="22"/>
                <w:szCs w:val="22"/>
              </w:rPr>
              <w:t>-1000mv-2000mv</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溶氧控制仪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-20mg/L</w:t>
            </w:r>
            <w:r>
              <w:rPr>
                <w:rFonts w:hint="eastAsia" w:ascii="宋体" w:hAnsi="宋体" w:cs="宋体"/>
                <w:kern w:val="0"/>
                <w:sz w:val="22"/>
                <w:szCs w:val="22"/>
              </w:rPr>
              <w:t>，荧光法</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在线电导仪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0-1000s/m</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在线温度计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0-50℃</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PLC智能控制系统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56</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以太网远程控制模块</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A</w:t>
            </w:r>
            <w:r>
              <w:rPr>
                <w:rFonts w:ascii="宋体" w:hAnsi="宋体" w:cs="宋体"/>
                <w:kern w:val="0"/>
                <w:sz w:val="22"/>
                <w:szCs w:val="22"/>
              </w:rPr>
              <w:t>R</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人机界面操作系统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ZTRJ-002</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变频器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0.75KW</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ind w:right="-105" w:rightChars="-50"/>
              <w:jc w:val="center"/>
              <w:rPr>
                <w:rFonts w:ascii="宋体" w:hAnsi="宋体" w:cs="宋体"/>
                <w:kern w:val="0"/>
                <w:sz w:val="22"/>
                <w:szCs w:val="22"/>
              </w:rPr>
            </w:pPr>
            <w:r>
              <w:rPr>
                <w:rFonts w:hint="eastAsia" w:ascii="宋体" w:hAnsi="宋体" w:cs="宋体"/>
                <w:kern w:val="0"/>
                <w:sz w:val="22"/>
                <w:szCs w:val="22"/>
              </w:rPr>
              <w:t>3</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变频器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5KW</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ind w:right="-105" w:rightChars="-50"/>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电线电缆</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AVVR,KVVP</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000000" w:fill="FFFFFF"/>
            <w:vAlign w:val="center"/>
          </w:tcPr>
          <w:p>
            <w:pPr>
              <w:widowControl/>
              <w:ind w:right="-105" w:rightChars="-50"/>
              <w:jc w:val="center"/>
              <w:rPr>
                <w:rFonts w:ascii="宋体" w:hAnsi="宋体" w:cs="宋体"/>
                <w:kern w:val="0"/>
                <w:sz w:val="22"/>
                <w:szCs w:val="22"/>
              </w:rPr>
            </w:pPr>
            <w:r>
              <w:rPr>
                <w:rFonts w:hint="eastAsia" w:ascii="宋体" w:hAnsi="宋体" w:cs="宋体"/>
                <w:kern w:val="0"/>
                <w:sz w:val="22"/>
                <w:szCs w:val="22"/>
              </w:rPr>
              <w:t>7500</w:t>
            </w:r>
          </w:p>
        </w:tc>
        <w:tc>
          <w:tcPr>
            <w:tcW w:w="3294" w:type="dxa"/>
            <w:vMerge w:val="continue"/>
            <w:tcBorders>
              <w:left w:val="nil"/>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（四）过程废气净化系统 </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废气收集罩</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PP</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3294"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水处理区域设置集风罩，室外风机通过室内设置的通风管道将废气送至废气净化装置，废气净化达到排放标准后通过排放管高空排放。净化处理后，室内及周边的空气环境符合标准。废气净化装置选用实验室混合废气净化设备（双级两相错流吸收液吸收+催化氧化+植物除臭+活性碳吸附层吸附），配置ORP和pH在线监测及自动加药设备，国家标准图集号22TK第205页。风机选用防腐玻璃钢风机。</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废气净化装置</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Q=10000m</w:t>
            </w:r>
            <w:r>
              <w:rPr>
                <w:rFonts w:hint="eastAsia" w:ascii="宋体" w:hAnsi="宋体" w:cs="宋体"/>
                <w:kern w:val="0"/>
                <w:sz w:val="22"/>
                <w:szCs w:val="22"/>
                <w:vertAlign w:val="superscript"/>
              </w:rPr>
              <w:t>3</w:t>
            </w:r>
            <w:r>
              <w:rPr>
                <w:rFonts w:hint="eastAsia" w:ascii="宋体" w:hAnsi="宋体" w:cs="宋体"/>
                <w:kern w:val="0"/>
                <w:sz w:val="22"/>
                <w:szCs w:val="22"/>
              </w:rPr>
              <w:t>/h，1.5mm厚304不锈钢材质</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风机（一用一备）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10000m</w:t>
            </w:r>
            <w:r>
              <w:rPr>
                <w:rFonts w:hint="eastAsia" w:ascii="宋体" w:hAnsi="宋体" w:cs="宋体"/>
                <w:kern w:val="0"/>
                <w:sz w:val="22"/>
                <w:szCs w:val="22"/>
                <w:vertAlign w:val="superscript"/>
              </w:rPr>
              <w:t>3</w:t>
            </w:r>
            <w:r>
              <w:rPr>
                <w:rFonts w:hint="eastAsia" w:ascii="宋体" w:hAnsi="宋体" w:cs="宋体"/>
                <w:kern w:val="0"/>
                <w:sz w:val="22"/>
                <w:szCs w:val="22"/>
              </w:rPr>
              <w:t>/h，配变频电机和变频器</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59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风管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PP 3-10mm</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风阀系统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PP</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通风系统吊架桥架系统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热镀锌</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（五）在线监测系统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ind w:leftChars="-20" w:right="-31" w:rightChars="-15" w:hanging="41" w:hangingChars="19"/>
              <w:jc w:val="left"/>
              <w:rPr>
                <w:rFonts w:ascii="宋体" w:hAnsi="宋体" w:cs="宋体"/>
                <w:kern w:val="0"/>
                <w:sz w:val="22"/>
                <w:szCs w:val="22"/>
              </w:rPr>
            </w:pPr>
            <w:r>
              <w:rPr>
                <w:rFonts w:hint="eastAsia" w:ascii="宋体" w:hAnsi="宋体" w:cs="宋体"/>
                <w:kern w:val="0"/>
                <w:sz w:val="22"/>
                <w:szCs w:val="22"/>
              </w:rPr>
              <w:t>在线pH检测仪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0-14</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1</w:t>
            </w:r>
          </w:p>
        </w:tc>
        <w:tc>
          <w:tcPr>
            <w:tcW w:w="3294" w:type="dxa"/>
            <w:vMerge w:val="restart"/>
            <w:tcBorders>
              <w:top w:val="nil"/>
              <w:left w:val="single" w:color="auto" w:sz="4" w:space="0"/>
              <w:bottom w:val="nil"/>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处理后出水设置pH、COD、氨氮、TP等在线检测仪，其中COD、氨氮、TP等设备由业主提供。为保证人员和设施安全，设置室内有毒有害气体监测仪。</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szCs w:val="22"/>
              </w:rPr>
            </w:pPr>
            <w:r>
              <w:rPr>
                <w:rFonts w:hint="eastAsia" w:ascii="宋体" w:hAnsi="宋体" w:cs="宋体"/>
                <w:kern w:val="0"/>
                <w:sz w:val="22"/>
                <w:szCs w:val="22"/>
              </w:rPr>
              <w:t>有毒有害气体检测仪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VOC、H</w:t>
            </w:r>
            <w:r>
              <w:rPr>
                <w:rFonts w:hint="eastAsia" w:ascii="宋体" w:hAnsi="宋体" w:cs="宋体"/>
                <w:kern w:val="0"/>
                <w:sz w:val="22"/>
                <w:szCs w:val="22"/>
                <w:vertAlign w:val="subscript"/>
              </w:rPr>
              <w:t>2</w:t>
            </w:r>
            <w:r>
              <w:rPr>
                <w:rFonts w:hint="eastAsia" w:ascii="宋体" w:hAnsi="宋体" w:cs="宋体"/>
                <w:kern w:val="0"/>
                <w:sz w:val="22"/>
                <w:szCs w:val="22"/>
              </w:rPr>
              <w:t>S，SO</w:t>
            </w:r>
            <w:r>
              <w:rPr>
                <w:rFonts w:hint="eastAsia" w:ascii="宋体" w:hAnsi="宋体" w:cs="宋体"/>
                <w:kern w:val="0"/>
                <w:sz w:val="22"/>
                <w:szCs w:val="22"/>
                <w:vertAlign w:val="subscript"/>
              </w:rPr>
              <w:t>2</w:t>
            </w:r>
            <w:r>
              <w:rPr>
                <w:rFonts w:hint="eastAsia" w:ascii="宋体" w:hAnsi="宋体" w:cs="宋体"/>
                <w:kern w:val="0"/>
                <w:sz w:val="22"/>
                <w:szCs w:val="22"/>
              </w:rPr>
              <w:t>、可燃气</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在线电导率仪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0-1000s/m</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在线流量计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0-5m</w:t>
            </w:r>
            <w:r>
              <w:rPr>
                <w:rFonts w:hint="eastAsia" w:ascii="宋体" w:hAnsi="宋体" w:cs="宋体"/>
                <w:kern w:val="0"/>
                <w:sz w:val="22"/>
                <w:szCs w:val="22"/>
                <w:vertAlign w:val="superscript"/>
              </w:rPr>
              <w:t>3</w:t>
            </w:r>
            <w:r>
              <w:rPr>
                <w:rFonts w:hint="eastAsia" w:ascii="宋体" w:hAnsi="宋体" w:cs="宋体"/>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5568"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（六）远程控制及检测系统 </w:t>
            </w:r>
          </w:p>
        </w:tc>
        <w:tc>
          <w:tcPr>
            <w:tcW w:w="3294"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视频及监控装置</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DH-DVR0804HF-L</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3294" w:type="dxa"/>
            <w:vMerge w:val="restart"/>
            <w:tcBorders>
              <w:top w:val="nil"/>
              <w:left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视频及监控装置包括监控球机、2T硬盘录像机、UPS不间断电源。显示系统包括音响装置和壁挂式显示器，用于教学显示和废液废水废气处理自控系统的控制显示。处理装置区域设置6套高清视频监控装置用于现场和远程监控。工控及远程软件包括操作软件和远程控制系统软件。实验台和通风柜为现场水质检测和学生实验实训设置。工控计算机配置不低于13代I7-13700 16G内存 512G固态硬盘，23.8英寸显示器。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控制台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2000G</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显示系统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3*3拼接屏（单块46吋）</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69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工控及远程软件</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正版</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工控计算机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I7正版</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打印机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A4激光</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空调</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5匹</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分析实验室实验台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3米，中央台，陶瓷面板，全钢结构</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分析实验室通风柜及风阀系统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.5</w:t>
            </w:r>
            <w:r>
              <w:rPr>
                <w:rFonts w:hint="eastAsia" w:ascii="宋体" w:hAnsi="宋体" w:cs="宋体"/>
                <w:kern w:val="0"/>
                <w:sz w:val="22"/>
                <w:szCs w:val="22"/>
              </w:rPr>
              <w:t>米，陶瓷面板，全PP结构，配变风量阀和自动风量控制系统</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文件柜</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全钢结构，加厚款，中二斗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3294" w:type="dxa"/>
            <w:vMerge w:val="continue"/>
            <w:tcBorders>
              <w:left w:val="single" w:color="auto" w:sz="4" w:space="0"/>
              <w:bottom w:val="nil"/>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（七）其他配套设施</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规格型号、品牌</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76</w:t>
            </w:r>
          </w:p>
        </w:tc>
        <w:tc>
          <w:tcPr>
            <w:tcW w:w="2293" w:type="dxa"/>
            <w:gridSpan w:val="2"/>
            <w:tcBorders>
              <w:top w:val="nil"/>
              <w:left w:val="nil"/>
              <w:bottom w:val="single" w:color="auto" w:sz="4" w:space="0"/>
              <w:right w:val="single" w:color="auto" w:sz="4" w:space="0"/>
            </w:tcBorders>
            <w:shd w:val="clear" w:color="000000" w:fill="FFFFFF"/>
            <w:tcMar>
              <w:left w:w="28" w:type="dxa"/>
              <w:right w:w="28" w:type="dxa"/>
            </w:tcMar>
            <w:vAlign w:val="center"/>
          </w:tcPr>
          <w:p>
            <w:pPr>
              <w:widowControl/>
              <w:rPr>
                <w:rFonts w:ascii="宋体" w:hAnsi="宋体" w:cs="宋体"/>
                <w:kern w:val="0"/>
                <w:sz w:val="22"/>
                <w:szCs w:val="22"/>
              </w:rPr>
            </w:pPr>
            <w:r>
              <w:rPr>
                <w:rFonts w:hint="eastAsia" w:ascii="宋体" w:hAnsi="宋体" w:cs="宋体"/>
                <w:kern w:val="0"/>
                <w:sz w:val="22"/>
                <w:szCs w:val="22"/>
              </w:rPr>
              <w:t>室内排水沟盖板</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Cs w:val="20"/>
              </w:rPr>
              <w:t>500*250，玻璃钢篦子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5</w:t>
            </w:r>
          </w:p>
        </w:tc>
        <w:tc>
          <w:tcPr>
            <w:tcW w:w="32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排水沟盖板为玻璃钢排水篦子。除紧急冲淋器外，安全防护装备还有防护服、防护面罩、防酸碱手套、护目眼镜等。检测费含调试检测费及首次第三方检测费。二层平台改造要求：下层钢梁结构，上层钢筋混凝土结构。钢梁类型：Q235b国标H型</w:t>
            </w:r>
          </w:p>
          <w:p>
            <w:pPr>
              <w:widowControl/>
              <w:jc w:val="left"/>
              <w:rPr>
                <w:rFonts w:ascii="宋体" w:hAnsi="宋体" w:cs="宋体"/>
                <w:kern w:val="0"/>
                <w:sz w:val="22"/>
                <w:szCs w:val="22"/>
              </w:rPr>
            </w:pPr>
            <w:r>
              <w:rPr>
                <w:rFonts w:hint="eastAsia" w:ascii="宋体" w:hAnsi="宋体" w:cs="宋体"/>
                <w:kern w:val="0"/>
                <w:sz w:val="22"/>
                <w:szCs w:val="22"/>
              </w:rPr>
              <w:t>每根质量在1t以内，螺栓种类：4M20，10.9级，安装高度：4.080，防火要求：薄型2小时，总重4.065t，涂装双层防锈漆；混凝土种类：组合楼面板面钢筋：8@200双向通长；压型钢板每个波谷设构造钢筋2直径8、混凝土强度等级：C30，板厚：120。楼地面单块0.4m</w:t>
            </w:r>
            <w:r>
              <w:rPr>
                <w:rFonts w:hint="eastAsia" w:ascii="宋体" w:hAnsi="宋体" w:cs="宋体"/>
                <w:kern w:val="0"/>
                <w:sz w:val="22"/>
                <w:szCs w:val="22"/>
                <w:vertAlign w:val="superscript"/>
              </w:rPr>
              <w:t>2</w:t>
            </w:r>
            <w:r>
              <w:rPr>
                <w:rFonts w:hint="eastAsia" w:ascii="宋体" w:hAnsi="宋体" w:cs="宋体"/>
                <w:kern w:val="0"/>
                <w:sz w:val="22"/>
                <w:szCs w:val="22"/>
              </w:rPr>
              <w:t>以上地砖，前面喷刷3道乳胶漆，铝合金窗，全钢化玻璃门，不锈钢防护栏（具体要求见二层平台配置清单）</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室内排水沟盖板</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ascii="宋体" w:hAnsi="宋体" w:cs="宋体"/>
                <w:kern w:val="0"/>
                <w:sz w:val="22"/>
                <w:szCs w:val="22"/>
              </w:rPr>
              <w:t>300*250</w:t>
            </w:r>
            <w:r>
              <w:rPr>
                <w:rFonts w:hint="eastAsia" w:ascii="宋体" w:hAnsi="宋体" w:cs="宋体"/>
                <w:kern w:val="0"/>
                <w:sz w:val="22"/>
                <w:szCs w:val="22"/>
              </w:rPr>
              <w:t>，玻璃钢篦子</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8</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除湿机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3L/h，自动排水</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79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二层平台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钢结构，混凝土地面</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平米</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125</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学习桌椅</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钢木，单人单座，特厚款蓝色 双柱桌+椅</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展示屏</w:t>
            </w:r>
          </w:p>
        </w:tc>
        <w:tc>
          <w:tcPr>
            <w:tcW w:w="1352" w:type="dxa"/>
            <w:gridSpan w:val="2"/>
            <w:tcBorders>
              <w:top w:val="nil"/>
              <w:left w:val="nil"/>
              <w:bottom w:val="single" w:color="auto" w:sz="4" w:space="0"/>
              <w:right w:val="single" w:color="auto" w:sz="4" w:space="0"/>
            </w:tcBorders>
            <w:shd w:val="clear" w:color="000000" w:fill="FFFFFF"/>
            <w:vAlign w:val="center"/>
          </w:tcPr>
          <w:p>
            <w:pPr>
              <w:jc w:val="left"/>
            </w:pPr>
            <w:r>
              <w:rPr>
                <w:rFonts w:hint="eastAsia" w:ascii="宋体" w:hAnsi="宋体" w:cs="宋体"/>
                <w:kern w:val="0"/>
                <w:sz w:val="22"/>
                <w:szCs w:val="22"/>
              </w:rPr>
              <w:t xml:space="preserve">P2分辨率LED屏， </w:t>
            </w:r>
            <w:r>
              <w:rPr>
                <w:rFonts w:hint="eastAsia"/>
              </w:rPr>
              <w:t>（模组尺寸: 320mm*160mm，显示屏尺寸：4.16m*2.24m</w:t>
            </w:r>
          </w:p>
          <w:p>
            <w:pPr>
              <w:jc w:val="left"/>
              <w:rPr>
                <w:rFonts w:ascii="宋体" w:hAnsi="宋体" w:cs="宋体"/>
                <w:kern w:val="0"/>
                <w:sz w:val="22"/>
                <w:szCs w:val="22"/>
              </w:rPr>
            </w:pPr>
            <w:r>
              <w:rPr>
                <w:rFonts w:hint="eastAsia"/>
              </w:rPr>
              <w:t>高科封装，含磁;1920刷新，16:9</w:t>
            </w:r>
            <w:r>
              <w:rPr>
                <w:rFonts w:hint="eastAsia" w:ascii="宋体" w:hAnsi="宋体" w:cs="宋体"/>
                <w:kern w:val="0"/>
                <w:sz w:val="22"/>
                <w:szCs w:val="22"/>
              </w:rPr>
              <w:t>）带20吋触摸控制屏</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紧急冲淋洗眼器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120-180L/MIN</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安全防护装备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安装、调试及试运行费</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药剂及材料</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检测及验收费</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rPr>
                <w:rFonts w:ascii="宋体" w:hAnsi="宋体" w:cs="宋体"/>
                <w:kern w:val="0"/>
                <w:sz w:val="22"/>
                <w:szCs w:val="22"/>
              </w:rPr>
            </w:pPr>
            <w:r>
              <w:rPr>
                <w:rFonts w:hint="eastAsia" w:ascii="宋体" w:hAnsi="宋体" w:cs="宋体"/>
                <w:kern w:val="0"/>
                <w:sz w:val="22"/>
                <w:szCs w:val="22"/>
              </w:rPr>
              <w:t>试运行及验收检测</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kern w:val="0"/>
                <w:sz w:val="22"/>
                <w:szCs w:val="22"/>
              </w:rPr>
            </w:pPr>
            <w:r>
              <w:rPr>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（八）旁路系统</w:t>
            </w:r>
          </w:p>
        </w:tc>
      </w:tr>
      <w:tr>
        <w:tblPrEx>
          <w:tblCellMar>
            <w:top w:w="0" w:type="dxa"/>
            <w:left w:w="108" w:type="dxa"/>
            <w:bottom w:w="0" w:type="dxa"/>
            <w:right w:w="108" w:type="dxa"/>
          </w:tblCellMar>
        </w:tblPrEx>
        <w:trPr>
          <w:trHeight w:val="488" w:hRule="atLeast"/>
          <w:jc w:val="center"/>
        </w:trPr>
        <w:tc>
          <w:tcPr>
            <w:tcW w:w="17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设备名称</w:t>
            </w:r>
          </w:p>
        </w:tc>
        <w:tc>
          <w:tcPr>
            <w:tcW w:w="12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规格型号、品牌</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17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86</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臭氧氧化池</w:t>
            </w:r>
          </w:p>
        </w:tc>
        <w:tc>
          <w:tcPr>
            <w:tcW w:w="1285"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sz w:val="22"/>
                <w:szCs w:val="22"/>
              </w:rPr>
            </w:pPr>
            <w:r>
              <w:rPr>
                <w:rFonts w:hint="eastAsia" w:ascii="楷体" w:hAnsi="楷体" w:eastAsia="楷体"/>
                <w:color w:val="000000"/>
              </w:rPr>
              <w:t>V≥</w:t>
            </w:r>
            <w:r>
              <w:rPr>
                <w:rFonts w:ascii="楷体" w:hAnsi="楷体" w:eastAsia="楷体"/>
                <w:color w:val="000000"/>
              </w:rPr>
              <w:t>1</w:t>
            </w:r>
            <w:r>
              <w:rPr>
                <w:rFonts w:hint="eastAsia" w:ascii="楷体" w:hAnsi="楷体" w:eastAsia="楷体"/>
                <w:color w:val="000000"/>
              </w:rPr>
              <w:t>00L</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nil"/>
              <w:left w:val="single" w:color="auto" w:sz="4" w:space="0"/>
              <w:bottom w:val="single" w:color="auto" w:sz="4" w:space="0"/>
              <w:right w:val="single" w:color="auto" w:sz="4" w:space="0"/>
            </w:tcBorders>
            <w:vAlign w:val="center"/>
          </w:tcPr>
          <w:p>
            <w:pPr>
              <w:widowControl/>
              <w:jc w:val="left"/>
            </w:pPr>
            <w:r>
              <w:rPr>
                <w:rFonts w:hint="eastAsia" w:ascii="宋体" w:hAnsi="宋体" w:cs="宋体"/>
                <w:kern w:val="0"/>
                <w:sz w:val="22"/>
                <w:szCs w:val="22"/>
              </w:rPr>
              <w:t>臭氧氧化池带</w:t>
            </w:r>
            <w:r>
              <w:rPr>
                <w:rFonts w:ascii="宋体" w:hAnsi="宋体" w:cs="宋体"/>
                <w:kern w:val="0"/>
                <w:sz w:val="22"/>
                <w:szCs w:val="22"/>
              </w:rPr>
              <w:t>20g/L</w:t>
            </w:r>
            <w:r>
              <w:rPr>
                <w:rFonts w:hint="eastAsia" w:ascii="宋体" w:hAnsi="宋体" w:cs="宋体"/>
                <w:kern w:val="0"/>
                <w:sz w:val="22"/>
                <w:szCs w:val="22"/>
              </w:rPr>
              <w:t>臭氧发生器和尾气热分解器，不锈钢主体；MBR</w:t>
            </w:r>
            <w:r>
              <w:rPr>
                <w:rFonts w:hint="eastAsia" w:ascii="宋体" w:hAnsi="宋体" w:cs="宋体"/>
                <w:kern w:val="0"/>
                <w:sz w:val="22"/>
                <w:szCs w:val="22"/>
                <w:lang w:eastAsia="zh-CN"/>
              </w:rPr>
              <w:t>池为不锈钢池体，</w:t>
            </w:r>
            <w:r>
              <w:rPr>
                <w:rFonts w:hint="eastAsia" w:ascii="宋体" w:hAnsi="宋体" w:cs="宋体"/>
                <w:kern w:val="0"/>
                <w:sz w:val="22"/>
                <w:szCs w:val="22"/>
              </w:rPr>
              <w:t>带超滤膜组件、抽吸泵和相应型号曝气风机，全套设备。</w:t>
            </w:r>
          </w:p>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394" w:hRule="atLeast"/>
          <w:jc w:val="center"/>
        </w:trPr>
        <w:tc>
          <w:tcPr>
            <w:tcW w:w="17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87</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szCs w:val="22"/>
              </w:rPr>
            </w:pPr>
            <w:r>
              <w:rPr>
                <w:rFonts w:hint="eastAsia" w:ascii="宋体" w:hAnsi="宋体" w:cs="宋体"/>
                <w:kern w:val="0"/>
                <w:sz w:val="22"/>
                <w:szCs w:val="22"/>
              </w:rPr>
              <w:t>MBR池</w:t>
            </w:r>
          </w:p>
        </w:tc>
        <w:tc>
          <w:tcPr>
            <w:tcW w:w="1285" w:type="dxa"/>
            <w:tcBorders>
              <w:top w:val="nil"/>
              <w:left w:val="nil"/>
              <w:bottom w:val="single" w:color="auto" w:sz="4" w:space="0"/>
              <w:right w:val="single" w:color="auto" w:sz="4" w:space="0"/>
            </w:tcBorders>
            <w:shd w:val="clear" w:color="000000" w:fill="FFFFFF"/>
            <w:vAlign w:val="center"/>
          </w:tcPr>
          <w:p>
            <w:pPr>
              <w:widowControl/>
              <w:ind w:left="-112" w:leftChars="-54" w:right="-97" w:rightChars="-46" w:hanging="1"/>
              <w:jc w:val="left"/>
              <w:rPr>
                <w:rFonts w:ascii="宋体" w:hAnsi="宋体" w:cs="宋体"/>
                <w:kern w:val="0"/>
                <w:sz w:val="22"/>
                <w:szCs w:val="22"/>
              </w:rPr>
            </w:pPr>
            <w:r>
              <w:rPr>
                <w:rFonts w:hint="eastAsia" w:ascii="宋体" w:hAnsi="宋体" w:cs="宋体"/>
                <w:kern w:val="0"/>
                <w:sz w:val="22"/>
                <w:szCs w:val="22"/>
              </w:rPr>
              <w:t>Q≥0.</w:t>
            </w:r>
            <w:r>
              <w:rPr>
                <w:rFonts w:ascii="宋体" w:hAnsi="宋体" w:cs="宋体"/>
                <w:kern w:val="0"/>
                <w:sz w:val="22"/>
                <w:szCs w:val="22"/>
              </w:rPr>
              <w:t>2</w:t>
            </w:r>
            <w:r>
              <w:rPr>
                <w:rFonts w:hint="eastAsia" w:ascii="宋体" w:hAnsi="宋体" w:cs="宋体"/>
                <w:kern w:val="0"/>
                <w:sz w:val="22"/>
                <w:szCs w:val="22"/>
              </w:rPr>
              <w:t>5m</w:t>
            </w:r>
            <w:r>
              <w:rPr>
                <w:rFonts w:hint="eastAsia" w:ascii="宋体" w:hAnsi="宋体" w:cs="宋体"/>
                <w:kern w:val="0"/>
                <w:sz w:val="22"/>
                <w:szCs w:val="22"/>
                <w:vertAlign w:val="superscript"/>
              </w:rPr>
              <w:t>3</w:t>
            </w:r>
            <w:r>
              <w:rPr>
                <w:rFonts w:hint="eastAsia" w:ascii="宋体" w:hAnsi="宋体" w:cs="宋体"/>
                <w:kern w:val="0"/>
                <w:sz w:val="22"/>
                <w:szCs w:val="22"/>
              </w:rPr>
              <w:t>/h，帘式超滤膜</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bl>
    <w:p>
      <w:pPr>
        <w:pStyle w:val="2"/>
        <w:ind w:left="0" w:leftChars="0" w:firstLine="0" w:firstLineChars="0"/>
        <w:jc w:val="center"/>
      </w:pPr>
    </w:p>
    <w:p>
      <w:pPr>
        <w:jc w:val="center"/>
        <w:rPr>
          <w:sz w:val="28"/>
          <w:szCs w:val="28"/>
        </w:rPr>
      </w:pPr>
      <w:r>
        <w:rPr>
          <w:rFonts w:hint="eastAsia"/>
          <w:sz w:val="28"/>
          <w:szCs w:val="28"/>
        </w:rPr>
        <w:t>二层平台配置清单</w:t>
      </w:r>
    </w:p>
    <w:tbl>
      <w:tblPr>
        <w:tblStyle w:val="17"/>
        <w:tblW w:w="5207" w:type="pct"/>
        <w:tblInd w:w="-165" w:type="dxa"/>
        <w:tblLayout w:type="autofit"/>
        <w:tblCellMar>
          <w:top w:w="0" w:type="dxa"/>
          <w:left w:w="108" w:type="dxa"/>
          <w:bottom w:w="0" w:type="dxa"/>
          <w:right w:w="108" w:type="dxa"/>
        </w:tblCellMar>
      </w:tblPr>
      <w:tblGrid>
        <w:gridCol w:w="5308"/>
        <w:gridCol w:w="797"/>
        <w:gridCol w:w="2770"/>
      </w:tblGrid>
      <w:tr>
        <w:tblPrEx>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工程量</w:t>
            </w:r>
          </w:p>
        </w:tc>
      </w:tr>
      <w:tr>
        <w:tblPrEx>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钢结构部分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1074"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1.梁类型：国标H型钢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2.钢材品种、规格：Q235b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3.单根质量：每根质量在1t以内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4.螺栓种类：4M20，10.9级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5.安装高度：4.080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6.防火要求：薄型2小时</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4.065</w:t>
            </w:r>
          </w:p>
        </w:tc>
      </w:tr>
      <w:tr>
        <w:tblPrEx>
          <w:tblCellMar>
            <w:top w:w="0" w:type="dxa"/>
            <w:left w:w="108" w:type="dxa"/>
            <w:bottom w:w="0" w:type="dxa"/>
            <w:right w:w="108" w:type="dxa"/>
          </w:tblCellMar>
        </w:tblPrEx>
        <w:trPr>
          <w:trHeight w:val="1074"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钢梁、钢吊车梁制作 每根质量在1t以内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4.065</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Ⅰ类金属构件 运输距离在200km以内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4.065</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金属构件  钢梁</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4.065</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抛丸除锈</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4.065</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红丹防锈漆 第二遍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11.2194</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金属面防火涂料 薄型 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11.2194</w:t>
            </w:r>
          </w:p>
        </w:tc>
      </w:tr>
      <w:tr>
        <w:tblPrEx>
          <w:tblCellMar>
            <w:top w:w="0" w:type="dxa"/>
            <w:left w:w="108" w:type="dxa"/>
            <w:bottom w:w="0" w:type="dxa"/>
            <w:right w:w="108" w:type="dxa"/>
          </w:tblCellMar>
        </w:tblPrEx>
        <w:trPr>
          <w:trHeight w:val="145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零星钢构件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1.构件名称：连接板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2.钢材品种、规格：-179X328X8    -74X328X8   Q235B</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0.219</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零星钢构件制作</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0.219</w:t>
            </w: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Ⅲ类金属构件 运输距离在20km以内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0.219</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调和漆 第一遍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0.4789</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金属面防火涂料 薄型 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0.4789</w:t>
            </w:r>
          </w:p>
        </w:tc>
      </w:tr>
      <w:tr>
        <w:tblPrEx>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螺栓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1.螺栓种类：10.9级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2.规格：8M20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88</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螺栓、螺帽M20,10.9s</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88</w:t>
            </w:r>
          </w:p>
        </w:tc>
      </w:tr>
      <w:tr>
        <w:tblPrEx>
          <w:tblCellMar>
            <w:top w:w="0" w:type="dxa"/>
            <w:left w:w="108" w:type="dxa"/>
            <w:bottom w:w="0" w:type="dxa"/>
            <w:right w:w="108" w:type="dxa"/>
          </w:tblCellMar>
        </w:tblPrEx>
        <w:trPr>
          <w:trHeight w:val="1222"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压型钢板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压型钢板（镀锌）型号采用YX51-190-760,厚度t=1mm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73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金属构件  屋架、柱间钢支撑 压型钢板楼板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金属构件  屋架、柱间钢支撑 剪力栓钉</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45.85</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楼承板堵头</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5.8776</w:t>
            </w:r>
          </w:p>
        </w:tc>
      </w:tr>
      <w:tr>
        <w:tblPrEx>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工程量</w:t>
            </w:r>
          </w:p>
        </w:tc>
      </w:tr>
      <w:tr>
        <w:tblPrEx>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971"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混凝土楼面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1.混凝土种类：组合楼面板面钢筋：8@200双向通长;压型钢板每个波谷设构造钢筋2直径8</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2.混凝土强度等级：C30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3.板厚：120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3</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10.34</w:t>
            </w:r>
          </w:p>
        </w:tc>
      </w:tr>
      <w:tr>
        <w:tblPrEx>
          <w:tblCellMar>
            <w:top w:w="0" w:type="dxa"/>
            <w:left w:w="108" w:type="dxa"/>
            <w:bottom w:w="0" w:type="dxa"/>
            <w:right w:w="108" w:type="dxa"/>
          </w:tblCellMar>
        </w:tblPrEx>
        <w:trPr>
          <w:trHeight w:val="956"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泵送现浇构件  C30现浇平板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3</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10.34</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现浇混凝土构件钢筋 直径φ12mm以内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0.7858</w:t>
            </w: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现浇混凝土构件钢筋 直径φ12mm以内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0.6824</w:t>
            </w:r>
          </w:p>
        </w:tc>
      </w:tr>
      <w:tr>
        <w:tblPrEx>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1.钢材品种、规格：q235b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2.防火要求：薄型2小时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1.698</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钢梯子 踏步式 制作</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1.698</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金属构件  踏步式扶梯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1.698</w:t>
            </w: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Ⅲ类金属构件 运输距离在20km以内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0.145</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红丹防锈漆 第二遍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2.5615</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调和漆 第一遍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2.5615</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调和漆 第二遍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2.5615</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金属面防火涂料 薄型 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2.5615</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型钢栏杆 扶手</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1.59</w:t>
            </w:r>
          </w:p>
        </w:tc>
      </w:tr>
      <w:tr>
        <w:tblPrEx>
          <w:tblCellMar>
            <w:top w:w="0" w:type="dxa"/>
            <w:left w:w="108" w:type="dxa"/>
            <w:bottom w:w="0" w:type="dxa"/>
            <w:right w:w="108" w:type="dxa"/>
          </w:tblCellMar>
        </w:tblPrEx>
        <w:trPr>
          <w:trHeight w:val="1222"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螺栓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1.螺栓种类：6.8级6M20化学锚栓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2.规格：植入柱中</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84</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6.8级6M20化学锚栓</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84</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装饰部分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吊顶天棚</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73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装配式T型(不上人型)铝合金龙骨 面层规格600mm×600mm 简单</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矿棉板天棚面层 搁放在T型铝合金龙骨上</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全丝杆天棚吊筋 H=1050mm 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1089"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块料楼地面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1.找平层厚度、砂浆配合比：30厚1:3干硬性水泥砂浆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2.结合层厚度、砂浆配合比：20厚素水泥砂浆粘结层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3.面层材料品种、规格、颜色：CT-04-仿大理石瓷砖(抛釉面)800*800*10mm厚</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1074"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找平层 水泥砂浆(厚30mm) 混凝土或硬基层上(预拌)</w:t>
            </w:r>
          </w:p>
        </w:tc>
        <w:tc>
          <w:tcPr>
            <w:tcW w:w="449"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工程量</w:t>
            </w:r>
          </w:p>
        </w:tc>
      </w:tr>
      <w:tr>
        <w:tblPrEx>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楼地面单块0.4m</w:t>
            </w:r>
            <w:r>
              <w:rPr>
                <w:rFonts w:hint="eastAsia" w:ascii="宋体" w:hAnsi="宋体" w:cs="宋体"/>
                <w:color w:val="000000"/>
                <w:kern w:val="0"/>
                <w:szCs w:val="21"/>
                <w:vertAlign w:val="superscript"/>
                <w:lang w:bidi="ar"/>
              </w:rPr>
              <w:t>2</w:t>
            </w:r>
            <w:r>
              <w:rPr>
                <w:rFonts w:hint="eastAsia" w:ascii="宋体" w:hAnsi="宋体" w:cs="宋体"/>
                <w:color w:val="000000"/>
                <w:kern w:val="0"/>
                <w:szCs w:val="21"/>
                <w:lang w:bidi="ar"/>
              </w:rPr>
              <w:t>以外地砖 水泥砂浆(预拌)</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12.926</w:t>
            </w:r>
          </w:p>
        </w:tc>
      </w:tr>
      <w:tr>
        <w:tblPrEx>
          <w:tblCellMar>
            <w:top w:w="0" w:type="dxa"/>
            <w:left w:w="108" w:type="dxa"/>
            <w:bottom w:w="0" w:type="dxa"/>
            <w:right w:w="108" w:type="dxa"/>
          </w:tblCellMar>
        </w:tblPrEx>
        <w:trPr>
          <w:trHeight w:val="971"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墙面喷刷涂料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1.基层类型：原建筑砌体或钢筋混凝土墙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2.喷刷涂料部位：墙面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3.刮腻子要求：三遍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4.涂料品种、喷刷遍数：三遍PT-01-白色无机涂料</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336.96</w:t>
            </w:r>
          </w:p>
        </w:tc>
      </w:tr>
      <w:tr>
        <w:tblPrEx>
          <w:tblCellMar>
            <w:top w:w="0" w:type="dxa"/>
            <w:left w:w="108" w:type="dxa"/>
            <w:bottom w:w="0" w:type="dxa"/>
            <w:right w:w="108" w:type="dxa"/>
          </w:tblCellMar>
        </w:tblPrEx>
        <w:trPr>
          <w:trHeight w:val="956"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75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内墙面 在抹灰面上 901胶混合腻子批、刷乳胶漆各三遍</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33.696</w:t>
            </w:r>
          </w:p>
        </w:tc>
      </w:tr>
      <w:tr>
        <w:tblPrEx>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金属踢脚线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1.踢脚线高度：60mm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2.面层材料品种、规格、颜色：MT-03-黑色不锈钢(哑光面)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46.7</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黑色不锈钢(哑光面)踢脚线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4.67</w:t>
            </w:r>
          </w:p>
        </w:tc>
      </w:tr>
      <w:tr>
        <w:tblPrEx>
          <w:tblCellMar>
            <w:top w:w="0" w:type="dxa"/>
            <w:left w:w="108" w:type="dxa"/>
            <w:bottom w:w="0" w:type="dxa"/>
            <w:right w:w="108" w:type="dxa"/>
          </w:tblCellMar>
        </w:tblPrEx>
        <w:trPr>
          <w:trHeight w:val="838"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石材窗台板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1.粘结层厚度、砂浆配合比：水泥砂浆粘贴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2.窗台板材质、规格、颜色：ST01-云多拉灰大理石(抛光面)18mm厚</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7.2</w:t>
            </w:r>
          </w:p>
        </w:tc>
      </w:tr>
      <w:tr>
        <w:tblPrEx>
          <w:tblCellMar>
            <w:top w:w="0" w:type="dxa"/>
            <w:left w:w="108" w:type="dxa"/>
            <w:bottom w:w="0" w:type="dxa"/>
            <w:right w:w="108" w:type="dxa"/>
          </w:tblCellMar>
        </w:tblPrEx>
        <w:trPr>
          <w:trHeight w:val="838"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水泥砂浆粘贴石材块料面板 零星项目(预拌)</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0.2016</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石材磨边加工 45°斜边</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0.72</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全玻自由门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9.6</w:t>
            </w: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全玻自由门(无腰双扇) 门框制作 框断面70×140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0.476</w:t>
            </w: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门窗框包不锈钢板  门框 细木工板基层 木龙骨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0.476</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无框玻璃门扇  开启门 钢化玻璃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0.96</w:t>
            </w: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门窗特殊五金  全金属管子拉手</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副</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门窗特殊五金  地弹簧安装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4</w:t>
            </w:r>
          </w:p>
        </w:tc>
      </w:tr>
      <w:tr>
        <w:tblPrEx>
          <w:tblCellMar>
            <w:top w:w="0" w:type="dxa"/>
            <w:left w:w="108" w:type="dxa"/>
            <w:bottom w:w="0" w:type="dxa"/>
            <w:right w:w="108" w:type="dxa"/>
          </w:tblCellMar>
        </w:tblPrEx>
        <w:trPr>
          <w:trHeight w:val="73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金属（塑钢、断桥）窗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铝合金窗</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27.36</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铝合金推拉窗 断桥隔热铝型材</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2.736</w:t>
            </w:r>
          </w:p>
        </w:tc>
      </w:tr>
      <w:tr>
        <w:tblPrEx>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隔断</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1.骨架、边框材料种类、规格：轻钢龙骨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2.隔板材料品种、规格、颜色：双面双层石膏板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168.48</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隔墙轻钢龙骨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16.848</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石膏板墙面</w:t>
            </w:r>
          </w:p>
        </w:tc>
        <w:tc>
          <w:tcPr>
            <w:tcW w:w="449"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33.696</w:t>
            </w:r>
          </w:p>
        </w:tc>
      </w:tr>
      <w:tr>
        <w:tblPrEx>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工程量</w:t>
            </w:r>
          </w:p>
        </w:tc>
      </w:tr>
      <w:tr>
        <w:tblPrEx>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墙、柱梁面各种面层  岩棉吸音板 墙面、墙裙</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10m</w:t>
            </w:r>
            <w:r>
              <w:rPr>
                <w:rFonts w:hint="eastAsia" w:ascii="宋体" w:hAnsi="宋体" w:cs="宋体"/>
                <w:color w:val="000000"/>
                <w:kern w:val="0"/>
                <w:szCs w:val="21"/>
                <w:vertAlign w:val="superscript"/>
                <w:lang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16.848</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安装部分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1074"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配电箱</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1.名称：1A2L2动力照明配电箱</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2.规格：PZ30-48</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3.接线端子材质、规格：2.5/6端子接线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4.安装方式：壁装，距地1.5m</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1074"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成套配电箱安装 悬挂嵌入式 半周长1.5m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无端子外部接线 2.5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1.6</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无端子外部接线 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3.9</w:t>
            </w:r>
          </w:p>
        </w:tc>
      </w:tr>
      <w:tr>
        <w:tblPrEx>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配管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1.名称：JDG紧定式镀锌电线管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2.规格：SC20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3.配置形式：暗敷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260</w:t>
            </w:r>
          </w:p>
        </w:tc>
      </w:tr>
      <w:tr>
        <w:tblPrEx>
          <w:tblCellMar>
            <w:top w:w="0" w:type="dxa"/>
            <w:left w:w="108" w:type="dxa"/>
            <w:bottom w:w="0" w:type="dxa"/>
            <w:right w:w="108" w:type="dxa"/>
          </w:tblCellMar>
        </w:tblPrEx>
        <w:trPr>
          <w:trHeight w:val="75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砖、混凝土结构暗配 紧定式镀锌电线管公称直径20mm以内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2.6</w:t>
            </w:r>
          </w:p>
        </w:tc>
      </w:tr>
      <w:tr>
        <w:tblPrEx>
          <w:tblCellMar>
            <w:top w:w="0" w:type="dxa"/>
            <w:left w:w="108" w:type="dxa"/>
            <w:bottom w:w="0" w:type="dxa"/>
            <w:right w:w="108" w:type="dxa"/>
          </w:tblCellMar>
        </w:tblPrEx>
        <w:trPr>
          <w:trHeight w:val="145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配线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1.名称：BV导线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2.配线形式：管内穿线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3.规格：ZR-BV-2.5</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4.材质：铜芯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720</w:t>
            </w:r>
          </w:p>
        </w:tc>
      </w:tr>
      <w:tr>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管内穿线 照明线路 导线截面2.5mm2以内 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100m单线</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7.2</w:t>
            </w:r>
          </w:p>
        </w:tc>
      </w:tr>
      <w:tr>
        <w:tblPrEx>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配线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1.名称：BV导线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2.配线形式：管内穿线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3.规格：ZR-BV-4</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4.材质：铜芯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180</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管内穿线 照明线路 导线截面4mm2以内 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100m单线</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1.8</w:t>
            </w:r>
          </w:p>
        </w:tc>
      </w:tr>
      <w:tr>
        <w:tblPrEx>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照明开关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1.名称：三联开关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2.规格：X1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3.安装方式：安装高度为1.3m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三联开关</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0.2</w:t>
            </w:r>
          </w:p>
        </w:tc>
      </w:tr>
      <w:tr>
        <w:tblPrEx>
          <w:tblCellMar>
            <w:top w:w="0" w:type="dxa"/>
            <w:left w:w="108" w:type="dxa"/>
            <w:bottom w:w="0" w:type="dxa"/>
            <w:right w:w="108" w:type="dxa"/>
          </w:tblCellMar>
        </w:tblPrEx>
        <w:trPr>
          <w:trHeight w:val="853"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1.名称：双联二三极暗装插座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2.规格：X1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3.安装方式：安装高度为0.3m</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6</w:t>
            </w:r>
          </w:p>
        </w:tc>
      </w:tr>
      <w:tr>
        <w:tblPrEx>
          <w:tblCellMar>
            <w:top w:w="0" w:type="dxa"/>
            <w:left w:w="108" w:type="dxa"/>
            <w:bottom w:w="0" w:type="dxa"/>
            <w:right w:w="108" w:type="dxa"/>
          </w:tblCellMar>
        </w:tblPrEx>
        <w:trPr>
          <w:trHeight w:val="838"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Cs w:val="21"/>
              </w:rPr>
            </w:pP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双联二三极暗装插座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0.6</w:t>
            </w:r>
          </w:p>
        </w:tc>
      </w:tr>
      <w:tr>
        <w:tblPrEx>
          <w:tblCellMar>
            <w:top w:w="0" w:type="dxa"/>
            <w:left w:w="108" w:type="dxa"/>
            <w:bottom w:w="0" w:type="dxa"/>
            <w:right w:w="108" w:type="dxa"/>
          </w:tblCellMar>
        </w:tblPrEx>
        <w:trPr>
          <w:trHeight w:val="145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普通灯具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1.名称：方格栅吸顶灯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2.型号：48W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3.规格：nVc_600*600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4.类型：安装高度为3.0m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24</w:t>
            </w:r>
          </w:p>
        </w:tc>
      </w:tr>
      <w:tr>
        <w:tblPrEx>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方格栅吸顶灯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2.4</w:t>
            </w:r>
          </w:p>
        </w:tc>
      </w:tr>
      <w:tr>
        <w:tblPrEx>
          <w:tblCellMar>
            <w:top w:w="0" w:type="dxa"/>
            <w:left w:w="108" w:type="dxa"/>
            <w:bottom w:w="0" w:type="dxa"/>
            <w:right w:w="108" w:type="dxa"/>
          </w:tblCellMar>
        </w:tblPrEx>
        <w:trPr>
          <w:trHeight w:val="986"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信息插座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1.名称：电话插座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2.规格：X1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电话插座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33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信息插座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1.名称：信息插座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2.规格：X1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信息插座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信息插座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1.名称：电视插座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2.规格：X1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电视插座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双绞线缆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【项目特征】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1.名称：六类屏蔽双绞电缆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2.规格：UTP6，六类(屏蔽)</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100</w:t>
            </w:r>
          </w:p>
        </w:tc>
      </w:tr>
      <w:tr>
        <w:tblPrEx>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管/暗槽内穿放双绞线缆 25对以内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lang w:bidi="ar"/>
              </w:rPr>
              <w:t>1</w:t>
            </w:r>
          </w:p>
        </w:tc>
      </w:tr>
    </w:tbl>
    <w:p>
      <w:pPr>
        <w:adjustRightInd w:val="0"/>
        <w:snapToGrid w:val="0"/>
        <w:spacing w:line="360" w:lineRule="auto"/>
        <w:ind w:firstLine="480" w:firstLineChars="200"/>
        <w:rPr>
          <w:rFonts w:ascii="宋体" w:hAnsi="宋体"/>
          <w:sz w:val="24"/>
          <w:szCs w:val="22"/>
        </w:rPr>
      </w:pPr>
      <w:r>
        <w:rPr>
          <w:rFonts w:hint="eastAsia" w:ascii="宋体" w:hAnsi="宋体"/>
          <w:sz w:val="24"/>
          <w:szCs w:val="22"/>
        </w:rPr>
        <w:t>（1）装置包括：从实验室废水自进入处理间起至排出处理实训系统止的所有的工艺、电气仪表等设备。</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（2）培训管理操作人员（管理人员、操作人员、维护人员等），直至上岗操作。</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（3）调试成功并验收后，提供整套设备安全操作手册，包括施工图、故障处理、注意事项、主体设备说明书等。</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（4）处理实验装置交付运行后二年内免费提供技术咨询，免费质保期为二年，享受终身技术支持（包括远程技术支持）。</w:t>
      </w:r>
    </w:p>
    <w:p>
      <w:pPr>
        <w:adjustRightInd w:val="0"/>
        <w:snapToGrid w:val="0"/>
        <w:spacing w:line="360" w:lineRule="auto"/>
        <w:rPr>
          <w:rFonts w:ascii="宋体" w:hAnsi="宋体" w:cs="宋体"/>
          <w:b/>
          <w:bCs/>
          <w:sz w:val="24"/>
        </w:rPr>
      </w:pPr>
      <w:r>
        <w:rPr>
          <w:rFonts w:hint="eastAsia" w:ascii="宋体" w:hAnsi="宋体" w:cs="宋体"/>
          <w:b/>
          <w:bCs/>
          <w:sz w:val="24"/>
        </w:rPr>
        <w:t>6.技术规范要求：</w:t>
      </w:r>
    </w:p>
    <w:p>
      <w:pPr>
        <w:adjustRightInd w:val="0"/>
        <w:snapToGrid w:val="0"/>
        <w:spacing w:line="360" w:lineRule="auto"/>
        <w:rPr>
          <w:rFonts w:ascii="宋体" w:hAnsi="宋体"/>
          <w:sz w:val="24"/>
          <w:szCs w:val="22"/>
        </w:rPr>
      </w:pPr>
      <w:r>
        <w:rPr>
          <w:rFonts w:hint="eastAsia" w:ascii="宋体" w:hAnsi="宋体"/>
          <w:sz w:val="24"/>
          <w:szCs w:val="22"/>
        </w:rPr>
        <w:t>（1）水质</w:t>
      </w:r>
    </w:p>
    <w:p>
      <w:pPr>
        <w:adjustRightInd w:val="0"/>
        <w:snapToGrid w:val="0"/>
        <w:spacing w:after="156" w:afterLines="50" w:line="360" w:lineRule="auto"/>
        <w:ind w:firstLine="482" w:firstLineChars="200"/>
        <w:rPr>
          <w:rFonts w:ascii="宋体"/>
          <w:b/>
          <w:sz w:val="24"/>
        </w:rPr>
      </w:pPr>
      <w:r>
        <w:rPr>
          <w:rFonts w:hint="eastAsia" w:ascii="宋体" w:hAnsi="宋体"/>
          <w:b/>
          <w:sz w:val="24"/>
        </w:rPr>
        <w:t>废液主要污染特征如下：</w:t>
      </w:r>
    </w:p>
    <w:p>
      <w:pPr>
        <w:adjustRightInd w:val="0"/>
        <w:snapToGrid w:val="0"/>
        <w:spacing w:after="156" w:afterLines="50" w:line="360" w:lineRule="auto"/>
        <w:ind w:firstLine="480" w:firstLineChars="200"/>
        <w:rPr>
          <w:rFonts w:ascii="宋体"/>
          <w:sz w:val="24"/>
        </w:rPr>
      </w:pPr>
      <w:r>
        <w:rPr>
          <w:rFonts w:ascii="宋体" w:hAnsi="宋体"/>
          <w:sz w:val="24"/>
          <w:szCs w:val="22"/>
        </w:rPr>
        <w:t>1</w:t>
      </w:r>
      <w:r>
        <w:rPr>
          <w:rFonts w:hint="eastAsia" w:ascii="宋体" w:hAnsi="宋体"/>
          <w:sz w:val="24"/>
          <w:szCs w:val="22"/>
        </w:rPr>
        <w:t>）</w:t>
      </w:r>
      <w:r>
        <w:rPr>
          <w:rFonts w:hint="eastAsia" w:ascii="宋体"/>
          <w:sz w:val="24"/>
        </w:rPr>
        <w:t>有机废液：水中含高浓度</w:t>
      </w:r>
      <w:r>
        <w:rPr>
          <w:rFonts w:hint="eastAsia" w:ascii="宋体" w:hAnsi="宋体"/>
          <w:sz w:val="24"/>
          <w:szCs w:val="22"/>
        </w:rPr>
        <w:t>有机溶剂、石油类、油脂类物质、卤代烃、甲苯，苯酚，烷烃、烯烃、酮、醚、酚、醛等，COD</w:t>
      </w:r>
      <w:r>
        <w:rPr>
          <w:rFonts w:hint="eastAsia" w:ascii="宋体" w:hAnsi="宋体"/>
          <w:sz w:val="24"/>
          <w:szCs w:val="22"/>
          <w:vertAlign w:val="subscript"/>
        </w:rPr>
        <w:t>Cr</w:t>
      </w:r>
      <w:r>
        <w:rPr>
          <w:rFonts w:hint="eastAsia" w:ascii="宋体" w:hAnsi="宋体"/>
          <w:sz w:val="24"/>
          <w:szCs w:val="22"/>
        </w:rPr>
        <w:t>不高于5万mg/L。</w:t>
      </w:r>
    </w:p>
    <w:p>
      <w:pPr>
        <w:adjustRightInd w:val="0"/>
        <w:snapToGrid w:val="0"/>
        <w:spacing w:before="156" w:beforeLines="50" w:after="156" w:afterLines="50" w:line="360" w:lineRule="auto"/>
        <w:ind w:firstLine="480" w:firstLineChars="200"/>
        <w:rPr>
          <w:rFonts w:ascii="宋体"/>
          <w:sz w:val="24"/>
          <w:szCs w:val="22"/>
        </w:rPr>
      </w:pPr>
      <w:r>
        <w:rPr>
          <w:rFonts w:ascii="宋体" w:hAnsi="宋体"/>
          <w:sz w:val="24"/>
          <w:szCs w:val="22"/>
        </w:rPr>
        <w:t>2</w:t>
      </w:r>
      <w:r>
        <w:rPr>
          <w:rFonts w:hint="eastAsia" w:ascii="宋体" w:hAnsi="宋体"/>
          <w:sz w:val="24"/>
          <w:szCs w:val="22"/>
        </w:rPr>
        <w:t>）</w:t>
      </w:r>
      <w:r>
        <w:rPr>
          <w:rFonts w:hint="eastAsia" w:ascii="宋体"/>
          <w:sz w:val="24"/>
        </w:rPr>
        <w:t>重金属及无机废液：高浓度</w:t>
      </w:r>
      <w:r>
        <w:rPr>
          <w:rFonts w:hint="eastAsia" w:ascii="宋体" w:hAnsi="宋体"/>
          <w:sz w:val="24"/>
          <w:szCs w:val="22"/>
        </w:rPr>
        <w:t>镉、铬、铅、锰、银</w:t>
      </w:r>
      <w:r>
        <w:rPr>
          <w:rFonts w:ascii="宋体" w:hAnsi="宋体"/>
          <w:sz w:val="24"/>
          <w:szCs w:val="22"/>
        </w:rPr>
        <w:t xml:space="preserve"> </w:t>
      </w:r>
      <w:r>
        <w:rPr>
          <w:rFonts w:hint="eastAsia" w:ascii="宋体" w:hAnsi="宋体"/>
          <w:sz w:val="24"/>
          <w:szCs w:val="22"/>
        </w:rPr>
        <w:t>、镍、锌、铜废液等，</w:t>
      </w:r>
      <w:r>
        <w:rPr>
          <w:rFonts w:hint="eastAsia" w:ascii="宋体"/>
          <w:sz w:val="24"/>
        </w:rPr>
        <w:t>高浓度</w:t>
      </w:r>
      <w:r>
        <w:rPr>
          <w:rFonts w:hint="eastAsia" w:ascii="宋体" w:hAnsi="宋体"/>
          <w:sz w:val="24"/>
          <w:szCs w:val="22"/>
        </w:rPr>
        <w:t>酸碱及无机盐类废液。</w:t>
      </w:r>
    </w:p>
    <w:p>
      <w:pPr>
        <w:adjustRightInd w:val="0"/>
        <w:snapToGrid w:val="0"/>
        <w:spacing w:after="156" w:afterLines="50" w:line="360" w:lineRule="auto"/>
        <w:ind w:firstLine="482" w:firstLineChars="200"/>
        <w:rPr>
          <w:rFonts w:ascii="宋体"/>
          <w:b/>
          <w:sz w:val="24"/>
          <w:szCs w:val="22"/>
        </w:rPr>
      </w:pPr>
      <w:r>
        <w:rPr>
          <w:rFonts w:hint="eastAsia" w:ascii="宋体" w:hAnsi="宋体"/>
          <w:b/>
          <w:sz w:val="24"/>
        </w:rPr>
        <w:t>实验室普通废水主要污染特征如下：</w:t>
      </w:r>
    </w:p>
    <w:p>
      <w:pPr>
        <w:adjustRightInd w:val="0"/>
        <w:snapToGrid w:val="0"/>
        <w:spacing w:line="360" w:lineRule="auto"/>
        <w:ind w:firstLine="360" w:firstLineChars="150"/>
        <w:rPr>
          <w:rFonts w:ascii="宋体"/>
          <w:sz w:val="24"/>
          <w:szCs w:val="22"/>
        </w:rPr>
      </w:pPr>
      <w:r>
        <w:rPr>
          <w:rFonts w:ascii="宋体" w:hAnsi="宋体"/>
          <w:sz w:val="24"/>
          <w:szCs w:val="22"/>
        </w:rPr>
        <w:t>1</w:t>
      </w:r>
      <w:r>
        <w:rPr>
          <w:rFonts w:hint="eastAsia" w:ascii="宋体" w:hAnsi="宋体"/>
          <w:sz w:val="24"/>
          <w:szCs w:val="22"/>
        </w:rPr>
        <w:t>）无机物类废水：重金属离子、酸碱</w:t>
      </w:r>
      <w:r>
        <w:rPr>
          <w:rFonts w:ascii="宋体" w:hAnsi="宋体"/>
          <w:sz w:val="24"/>
          <w:szCs w:val="22"/>
        </w:rPr>
        <w:t xml:space="preserve">PH </w:t>
      </w:r>
      <w:r>
        <w:rPr>
          <w:rFonts w:hint="eastAsia" w:ascii="宋体" w:hAnsi="宋体"/>
          <w:sz w:val="24"/>
          <w:szCs w:val="22"/>
        </w:rPr>
        <w:t>值、卤素离子及其他非金属离子等；</w:t>
      </w:r>
    </w:p>
    <w:p>
      <w:pPr>
        <w:adjustRightInd w:val="0"/>
        <w:snapToGrid w:val="0"/>
        <w:spacing w:line="360" w:lineRule="auto"/>
        <w:ind w:firstLine="360" w:firstLineChars="150"/>
        <w:rPr>
          <w:rFonts w:ascii="宋体"/>
          <w:sz w:val="24"/>
          <w:szCs w:val="22"/>
        </w:rPr>
      </w:pPr>
      <w:r>
        <w:rPr>
          <w:rFonts w:ascii="宋体" w:hAnsi="宋体"/>
          <w:sz w:val="24"/>
          <w:szCs w:val="22"/>
        </w:rPr>
        <w:t>a</w:t>
      </w:r>
      <w:r>
        <w:rPr>
          <w:rFonts w:hint="eastAsia" w:ascii="宋体" w:hAnsi="宋体"/>
          <w:sz w:val="24"/>
          <w:szCs w:val="22"/>
        </w:rPr>
        <w:t>.重金属离子：汞、镉、铬、铅、锰、银</w:t>
      </w:r>
      <w:r>
        <w:rPr>
          <w:rFonts w:ascii="宋体" w:hAnsi="宋体"/>
          <w:sz w:val="24"/>
          <w:szCs w:val="22"/>
        </w:rPr>
        <w:t xml:space="preserve"> </w:t>
      </w:r>
      <w:r>
        <w:rPr>
          <w:rFonts w:hint="eastAsia" w:ascii="宋体" w:hAnsi="宋体"/>
          <w:sz w:val="24"/>
          <w:szCs w:val="22"/>
        </w:rPr>
        <w:t>、镍、锌、铜、铝、砷等金属阳离子以及处于络合状态的重金属离子团</w:t>
      </w:r>
      <w:r>
        <w:rPr>
          <w:rFonts w:ascii="宋体" w:hAnsi="宋体"/>
          <w:sz w:val="24"/>
          <w:szCs w:val="22"/>
        </w:rPr>
        <w:t>(Cr</w:t>
      </w:r>
      <w:r>
        <w:rPr>
          <w:rFonts w:ascii="宋体" w:hAnsi="宋体"/>
          <w:sz w:val="24"/>
          <w:szCs w:val="22"/>
          <w:vertAlign w:val="subscript"/>
        </w:rPr>
        <w:t>2</w:t>
      </w:r>
      <w:r>
        <w:rPr>
          <w:rFonts w:ascii="宋体" w:hAnsi="宋体"/>
          <w:sz w:val="24"/>
          <w:szCs w:val="22"/>
        </w:rPr>
        <w:t>O</w:t>
      </w:r>
      <w:r>
        <w:rPr>
          <w:rFonts w:ascii="宋体"/>
          <w:sz w:val="24"/>
          <w:szCs w:val="22"/>
        </w:rPr>
        <w:softHyphen/>
      </w:r>
      <w:r>
        <w:rPr>
          <w:rFonts w:ascii="宋体" w:hAnsi="宋体"/>
          <w:sz w:val="24"/>
          <w:szCs w:val="22"/>
          <w:vertAlign w:val="subscript"/>
        </w:rPr>
        <w:t>7</w:t>
      </w:r>
      <w:r>
        <w:rPr>
          <w:rFonts w:ascii="宋体" w:hAnsi="宋体"/>
          <w:sz w:val="24"/>
          <w:szCs w:val="22"/>
        </w:rPr>
        <w:t>)</w:t>
      </w:r>
      <w:r>
        <w:rPr>
          <w:rFonts w:ascii="宋体" w:hAnsi="宋体"/>
          <w:sz w:val="24"/>
          <w:szCs w:val="22"/>
          <w:vertAlign w:val="superscript"/>
        </w:rPr>
        <w:t>2-</w:t>
      </w:r>
      <w:r>
        <w:rPr>
          <w:rFonts w:hint="eastAsia" w:ascii="宋体" w:hAnsi="宋体"/>
          <w:sz w:val="24"/>
          <w:szCs w:val="22"/>
        </w:rPr>
        <w:t>、</w:t>
      </w:r>
      <w:r>
        <w:rPr>
          <w:rFonts w:ascii="宋体" w:hAnsi="宋体"/>
          <w:sz w:val="24"/>
          <w:szCs w:val="22"/>
        </w:rPr>
        <w:t>(CuCN)</w:t>
      </w:r>
      <w:r>
        <w:rPr>
          <w:rFonts w:ascii="宋体" w:hAnsi="宋体"/>
          <w:sz w:val="24"/>
          <w:szCs w:val="22"/>
          <w:vertAlign w:val="superscript"/>
        </w:rPr>
        <w:t>-</w:t>
      </w:r>
      <w:r>
        <w:rPr>
          <w:rFonts w:hint="eastAsia" w:ascii="宋体" w:hAnsi="宋体"/>
          <w:sz w:val="24"/>
          <w:szCs w:val="22"/>
        </w:rPr>
        <w:t>、</w:t>
      </w:r>
      <w:r>
        <w:rPr>
          <w:rFonts w:ascii="宋体" w:hAnsi="宋体"/>
          <w:sz w:val="24"/>
          <w:szCs w:val="22"/>
        </w:rPr>
        <w:t>(AuCN)</w:t>
      </w:r>
      <w:r>
        <w:rPr>
          <w:rFonts w:ascii="宋体" w:hAnsi="宋体"/>
          <w:sz w:val="24"/>
          <w:szCs w:val="22"/>
          <w:vertAlign w:val="superscript"/>
        </w:rPr>
        <w:t>-</w:t>
      </w:r>
      <w:r>
        <w:rPr>
          <w:rFonts w:ascii="宋体" w:hAnsi="宋体"/>
          <w:sz w:val="24"/>
          <w:szCs w:val="22"/>
        </w:rPr>
        <w:t xml:space="preserve"> </w:t>
      </w:r>
      <w:r>
        <w:rPr>
          <w:rFonts w:hint="eastAsia" w:ascii="宋体" w:hAnsi="宋体"/>
          <w:sz w:val="24"/>
          <w:szCs w:val="22"/>
        </w:rPr>
        <w:t>、</w:t>
      </w:r>
      <w:r>
        <w:rPr>
          <w:rFonts w:ascii="宋体" w:hAnsi="宋体"/>
          <w:sz w:val="24"/>
          <w:szCs w:val="22"/>
        </w:rPr>
        <w:t>(PtCl</w:t>
      </w:r>
      <w:r>
        <w:rPr>
          <w:rFonts w:ascii="宋体" w:hAnsi="宋体"/>
          <w:sz w:val="24"/>
          <w:szCs w:val="22"/>
          <w:vertAlign w:val="subscript"/>
        </w:rPr>
        <w:t>6</w:t>
      </w:r>
      <w:r>
        <w:rPr>
          <w:rFonts w:ascii="宋体" w:hAnsi="宋体"/>
          <w:sz w:val="24"/>
          <w:szCs w:val="22"/>
        </w:rPr>
        <w:t>)</w:t>
      </w:r>
      <w:r>
        <w:rPr>
          <w:rFonts w:ascii="宋体"/>
          <w:sz w:val="24"/>
          <w:szCs w:val="22"/>
          <w:vertAlign w:val="superscript"/>
        </w:rPr>
        <w:t>-</w:t>
      </w:r>
      <w:r>
        <w:rPr>
          <w:rFonts w:hint="eastAsia" w:ascii="宋体" w:hAnsi="宋体"/>
          <w:sz w:val="24"/>
          <w:szCs w:val="22"/>
        </w:rPr>
        <w:t>等；</w:t>
      </w:r>
    </w:p>
    <w:p>
      <w:pPr>
        <w:adjustRightInd w:val="0"/>
        <w:snapToGrid w:val="0"/>
        <w:spacing w:line="360" w:lineRule="auto"/>
        <w:ind w:firstLine="360" w:firstLineChars="150"/>
        <w:rPr>
          <w:rFonts w:ascii="宋体"/>
          <w:sz w:val="24"/>
          <w:szCs w:val="22"/>
        </w:rPr>
      </w:pPr>
      <w:r>
        <w:rPr>
          <w:rFonts w:ascii="宋体" w:hAnsi="宋体"/>
          <w:sz w:val="24"/>
          <w:szCs w:val="22"/>
        </w:rPr>
        <w:t>b</w:t>
      </w:r>
      <w:r>
        <w:rPr>
          <w:rFonts w:hint="eastAsia" w:ascii="宋体" w:hAnsi="宋体"/>
          <w:sz w:val="24"/>
          <w:szCs w:val="22"/>
        </w:rPr>
        <w:t>.酸碱</w:t>
      </w:r>
      <w:r>
        <w:rPr>
          <w:rFonts w:ascii="宋体" w:hAnsi="宋体"/>
          <w:sz w:val="24"/>
          <w:szCs w:val="22"/>
        </w:rPr>
        <w:t xml:space="preserve">PH </w:t>
      </w:r>
      <w:r>
        <w:rPr>
          <w:rFonts w:hint="eastAsia" w:ascii="宋体" w:hAnsi="宋体"/>
          <w:sz w:val="24"/>
          <w:szCs w:val="22"/>
        </w:rPr>
        <w:t>值</w:t>
      </w:r>
      <w:r>
        <w:rPr>
          <w:rFonts w:ascii="宋体" w:hAnsi="宋体"/>
          <w:sz w:val="24"/>
          <w:szCs w:val="22"/>
        </w:rPr>
        <w:t>:</w:t>
      </w:r>
      <w:r>
        <w:rPr>
          <w:rFonts w:hint="eastAsia" w:ascii="宋体" w:hAnsi="宋体"/>
          <w:sz w:val="24"/>
          <w:szCs w:val="22"/>
        </w:rPr>
        <w:t>硝酸、盐酸、硫酸、双氧水、氯化钾、氯化钙等；</w:t>
      </w:r>
    </w:p>
    <w:p>
      <w:pPr>
        <w:adjustRightInd w:val="0"/>
        <w:snapToGrid w:val="0"/>
        <w:spacing w:line="360" w:lineRule="auto"/>
        <w:ind w:firstLine="360" w:firstLineChars="150"/>
        <w:rPr>
          <w:rFonts w:ascii="宋体" w:hAnsi="宋体"/>
          <w:sz w:val="24"/>
          <w:szCs w:val="22"/>
        </w:rPr>
      </w:pPr>
      <w:r>
        <w:rPr>
          <w:rFonts w:ascii="宋体" w:hAnsi="宋体"/>
          <w:sz w:val="24"/>
          <w:szCs w:val="22"/>
        </w:rPr>
        <w:t>2</w:t>
      </w:r>
      <w:r>
        <w:rPr>
          <w:rFonts w:hint="eastAsia" w:ascii="宋体" w:hAnsi="宋体"/>
          <w:sz w:val="24"/>
          <w:szCs w:val="22"/>
        </w:rPr>
        <w:t>）有机物类废水：废水中含少量的有机溶剂、石油类、油脂类物质、糖类、蛋白质、多环芳烃、卤代烃、甲苯，苯酚，烷烃、烯烃、酮、醚、酚、醛等；</w:t>
      </w:r>
    </w:p>
    <w:p>
      <w:pPr>
        <w:adjustRightInd w:val="0"/>
        <w:snapToGrid w:val="0"/>
        <w:spacing w:line="360" w:lineRule="auto"/>
        <w:rPr>
          <w:rFonts w:ascii="宋体" w:hAnsi="宋体"/>
          <w:color w:val="000000" w:themeColor="text1"/>
          <w:sz w:val="24"/>
          <w:szCs w:val="22"/>
          <w14:textFill>
            <w14:solidFill>
              <w14:schemeClr w14:val="tx1"/>
            </w14:solidFill>
          </w14:textFill>
        </w:rPr>
      </w:pPr>
      <w:r>
        <w:rPr>
          <w:rFonts w:hint="eastAsia" w:ascii="宋体" w:hAnsi="宋体"/>
          <w:sz w:val="24"/>
          <w:szCs w:val="22"/>
        </w:rPr>
        <w:t>（2）</w:t>
      </w:r>
      <w:r>
        <w:rPr>
          <w:rFonts w:hint="eastAsia" w:ascii="宋体" w:hAnsi="宋体"/>
          <w:color w:val="000000" w:themeColor="text1"/>
          <w:sz w:val="24"/>
          <w:szCs w:val="22"/>
          <w14:textFill>
            <w14:solidFill>
              <w14:schemeClr w14:val="tx1"/>
            </w14:solidFill>
          </w14:textFill>
        </w:rPr>
        <w:t>处理工艺</w:t>
      </w:r>
    </w:p>
    <w:p>
      <w:pPr>
        <w:adjustRightInd w:val="0"/>
        <w:snapToGrid w:val="0"/>
        <w:spacing w:line="360" w:lineRule="auto"/>
        <w:ind w:firstLine="480" w:firstLineChars="20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处理工艺流程详见“衢州学院实验室水处理系统工艺流程框图”。</w:t>
      </w:r>
    </w:p>
    <w:p>
      <w:pPr>
        <w:adjustRightInd w:val="0"/>
        <w:snapToGrid w:val="0"/>
        <w:spacing w:line="360" w:lineRule="auto"/>
        <w:ind w:firstLine="480" w:firstLineChars="20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工艺流程包括：实验室</w:t>
      </w:r>
      <w:r>
        <w:rPr>
          <w:rFonts w:hint="eastAsia" w:ascii="宋体"/>
          <w:color w:val="000000" w:themeColor="text1"/>
          <w:sz w:val="24"/>
          <w14:textFill>
            <w14:solidFill>
              <w14:schemeClr w14:val="tx1"/>
            </w14:solidFill>
          </w14:textFill>
        </w:rPr>
        <w:t>废液</w:t>
      </w:r>
      <w:r>
        <w:rPr>
          <w:rFonts w:hint="eastAsia" w:ascii="宋体" w:hAnsi="宋体"/>
          <w:color w:val="000000" w:themeColor="text1"/>
          <w:sz w:val="24"/>
          <w:szCs w:val="22"/>
          <w14:textFill>
            <w14:solidFill>
              <w14:schemeClr w14:val="tx1"/>
            </w14:solidFill>
          </w14:textFill>
        </w:rPr>
        <w:t>收集单元、实验室</w:t>
      </w:r>
      <w:r>
        <w:rPr>
          <w:rFonts w:hint="eastAsia" w:ascii="宋体"/>
          <w:color w:val="000000" w:themeColor="text1"/>
          <w:sz w:val="24"/>
          <w14:textFill>
            <w14:solidFill>
              <w14:schemeClr w14:val="tx1"/>
            </w14:solidFill>
          </w14:textFill>
        </w:rPr>
        <w:t>废液</w:t>
      </w:r>
      <w:r>
        <w:rPr>
          <w:rFonts w:hint="eastAsia" w:ascii="宋体" w:hAnsi="宋体"/>
          <w:color w:val="000000" w:themeColor="text1"/>
          <w:sz w:val="24"/>
          <w:szCs w:val="22"/>
          <w14:textFill>
            <w14:solidFill>
              <w14:schemeClr w14:val="tx1"/>
            </w14:solidFill>
          </w14:textFill>
        </w:rPr>
        <w:t>分类预处理单元、实验室普通废水收集单元、物化处理单元、生化处理单元、过滤、深度处理单元、污泥脱水单元、加药单元、电气与自控单元以及废气净化单元。</w:t>
      </w:r>
    </w:p>
    <w:p>
      <w:pPr>
        <w:adjustRightInd w:val="0"/>
        <w:snapToGrid w:val="0"/>
        <w:spacing w:line="360" w:lineRule="auto"/>
        <w:rPr>
          <w:rFonts w:ascii="宋体" w:hAnsi="宋体"/>
          <w:sz w:val="24"/>
          <w:szCs w:val="22"/>
        </w:rPr>
      </w:pPr>
      <w:r>
        <w:rPr>
          <w:rFonts w:hint="eastAsia" w:ascii="宋体" w:hAnsi="宋体"/>
          <w:sz w:val="24"/>
          <w:szCs w:val="22"/>
        </w:rPr>
        <w:t>（3）</w:t>
      </w:r>
      <w:r>
        <w:rPr>
          <w:rFonts w:hint="eastAsia" w:ascii="微软雅黑" w:hAnsi="微软雅黑" w:eastAsia="微软雅黑" w:cs="微软雅黑"/>
          <w:sz w:val="24"/>
          <w:szCs w:val="22"/>
        </w:rPr>
        <w:t>▲</w:t>
      </w:r>
      <w:r>
        <w:rPr>
          <w:rFonts w:hint="eastAsia" w:ascii="宋体" w:hAnsi="宋体"/>
          <w:sz w:val="24"/>
          <w:szCs w:val="22"/>
        </w:rPr>
        <w:t>排放标准</w:t>
      </w:r>
    </w:p>
    <w:p>
      <w:pPr>
        <w:adjustRightInd w:val="0"/>
        <w:snapToGrid w:val="0"/>
        <w:spacing w:line="360" w:lineRule="auto"/>
        <w:ind w:firstLine="480" w:firstLineChars="20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执行《污水综合排放标准》（GB8978-1996）三级标准，其中总钴参照执行《无机化学工业污染物排放标准》(GB31573-2015)表1间接排放标准限值，总镍、总锰等一类污染物执行《污水综合排放标准》（GB8978-1996）中第一类污染物排放标准，氨氮参照执行衢州市城市污水处理厂进水水质标准（&lt;35mg/L）。</w:t>
      </w:r>
    </w:p>
    <w:p>
      <w:pPr>
        <w:widowControl/>
        <w:jc w:val="left"/>
        <w:rPr>
          <w:sz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jc w:val="left"/>
        <w:rPr>
          <w:rFonts w:ascii="宋体" w:hAnsi="宋体"/>
          <w:sz w:val="24"/>
          <w:szCs w:val="22"/>
        </w:rPr>
      </w:pPr>
      <w:r>
        <w:rPr>
          <w:rFonts w:hint="eastAsia" w:ascii="宋体" w:hAnsi="宋体"/>
          <w:sz w:val="24"/>
          <w:szCs w:val="22"/>
        </w:rPr>
        <w:t>\</w:t>
      </w:r>
    </w:p>
    <w:p>
      <w:pPr>
        <w:pStyle w:val="2"/>
        <w:ind w:left="2250" w:hanging="1200"/>
        <w:jc w:val="left"/>
        <w:sectPr>
          <w:pgSz w:w="16838" w:h="11906" w:orient="landscape"/>
          <w:pgMar w:top="1800" w:right="1440" w:bottom="1800" w:left="1440" w:header="851" w:footer="992" w:gutter="0"/>
          <w:cols w:space="720" w:num="1"/>
          <w:docGrid w:type="lines" w:linePitch="312" w:charSpace="0"/>
        </w:sectPr>
      </w:pPr>
      <w:r>
        <w:drawing>
          <wp:inline distT="0" distB="0" distL="0" distR="0">
            <wp:extent cx="8863330" cy="4531360"/>
            <wp:effectExtent l="0" t="0" r="0" b="2540"/>
            <wp:docPr id="2" name="图片 2" descr="C:\Users\zjs\Documents\WeChat Files\wxid_gr75os7lw5rf21\FileStorage\Temp\167862978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js\Documents\WeChat Files\wxid_gr75os7lw5rf21\FileStorage\Temp\16786297817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863330" cy="4531816"/>
                    </a:xfrm>
                    <a:prstGeom prst="rect">
                      <a:avLst/>
                    </a:prstGeom>
                    <a:noFill/>
                    <a:ln>
                      <a:noFill/>
                    </a:ln>
                  </pic:spPr>
                </pic:pic>
              </a:graphicData>
            </a:graphic>
          </wp:inline>
        </w:drawing>
      </w:r>
    </w:p>
    <w:p>
      <w:pPr>
        <w:adjustRightInd w:val="0"/>
        <w:snapToGrid w:val="0"/>
        <w:spacing w:line="460" w:lineRule="exact"/>
        <w:rPr>
          <w:rFonts w:ascii="宋体" w:hAnsi="宋体"/>
          <w:sz w:val="28"/>
          <w:szCs w:val="28"/>
        </w:rPr>
      </w:pPr>
      <w:bookmarkStart w:id="10" w:name="_Toc471981829"/>
      <w:r>
        <w:rPr>
          <w:rFonts w:ascii="仿宋_GB2312" w:hAnsi="宋体" w:eastAsia="仿宋_GB2312"/>
          <w:b/>
          <w:bCs/>
          <w:sz w:val="28"/>
          <w:szCs w:val="28"/>
        </w:rPr>
        <w:t>7.</w:t>
      </w:r>
      <w:r>
        <w:rPr>
          <w:rFonts w:hint="eastAsia" w:ascii="仿宋_GB2312" w:hAnsi="宋体" w:eastAsia="仿宋_GB2312"/>
          <w:b/>
          <w:bCs/>
          <w:sz w:val="28"/>
          <w:szCs w:val="28"/>
        </w:rPr>
        <w:t>装置</w:t>
      </w:r>
      <w:r>
        <w:rPr>
          <w:rFonts w:ascii="仿宋_GB2312" w:hAnsi="宋体" w:eastAsia="仿宋_GB2312"/>
          <w:b/>
          <w:bCs/>
          <w:sz w:val="28"/>
          <w:szCs w:val="28"/>
        </w:rPr>
        <w:t>技术指标、参数功能要求</w:t>
      </w:r>
      <w:r>
        <w:rPr>
          <w:rFonts w:hint="eastAsia" w:ascii="仿宋_GB2312" w:hAnsi="宋体" w:eastAsia="仿宋_GB2312"/>
          <w:b/>
          <w:bCs/>
          <w:sz w:val="28"/>
          <w:szCs w:val="28"/>
        </w:rPr>
        <w:t>：</w:t>
      </w:r>
    </w:p>
    <w:p>
      <w:pPr>
        <w:adjustRightInd w:val="0"/>
        <w:snapToGrid w:val="0"/>
        <w:spacing w:line="460" w:lineRule="exact"/>
        <w:rPr>
          <w:rFonts w:hAnsi="宋体"/>
          <w:sz w:val="28"/>
          <w:szCs w:val="28"/>
        </w:rPr>
      </w:pPr>
      <w:r>
        <w:rPr>
          <w:rFonts w:hint="eastAsia" w:hAnsi="宋体"/>
          <w:sz w:val="28"/>
          <w:szCs w:val="28"/>
        </w:rPr>
        <w:t>（1）实验室废水处理实训系统设置于衢州学院训研创大楼一楼室内（详见附图）。</w:t>
      </w:r>
    </w:p>
    <w:p>
      <w:pPr>
        <w:adjustRightInd w:val="0"/>
        <w:snapToGrid w:val="0"/>
        <w:ind w:firstLine="420" w:firstLineChars="200"/>
        <w:jc w:val="center"/>
        <w:rPr>
          <w:rFonts w:hAnsi="宋体"/>
          <w:sz w:val="28"/>
          <w:szCs w:val="28"/>
        </w:rPr>
      </w:pPr>
      <w:r>
        <w:drawing>
          <wp:inline distT="0" distB="0" distL="114300" distR="114300">
            <wp:extent cx="6256020" cy="4441190"/>
            <wp:effectExtent l="0" t="0" r="1143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6256020" cy="4441190"/>
                    </a:xfrm>
                    <a:prstGeom prst="rect">
                      <a:avLst/>
                    </a:prstGeom>
                    <a:noFill/>
                    <a:ln>
                      <a:noFill/>
                    </a:ln>
                  </pic:spPr>
                </pic:pic>
              </a:graphicData>
            </a:graphic>
          </wp:inline>
        </w:drawing>
      </w:r>
    </w:p>
    <w:p>
      <w:pPr>
        <w:pStyle w:val="2"/>
        <w:ind w:left="0" w:leftChars="0" w:firstLine="0" w:firstLineChars="0"/>
        <w:sectPr>
          <w:pgSz w:w="16838" w:h="11906" w:orient="landscape"/>
          <w:pgMar w:top="1800" w:right="1440" w:bottom="1800" w:left="1440" w:header="851" w:footer="992" w:gutter="0"/>
          <w:cols w:space="720" w:num="1"/>
          <w:docGrid w:type="lines" w:linePitch="312" w:charSpace="0"/>
        </w:sectPr>
      </w:pPr>
    </w:p>
    <w:p>
      <w:pPr>
        <w:adjustRightInd w:val="0"/>
        <w:snapToGrid w:val="0"/>
        <w:spacing w:line="460" w:lineRule="exact"/>
        <w:ind w:firstLine="480" w:firstLineChars="200"/>
        <w:rPr>
          <w:rFonts w:hAnsi="宋体"/>
          <w:sz w:val="24"/>
        </w:rPr>
      </w:pPr>
      <w:r>
        <w:rPr>
          <w:rFonts w:hint="eastAsia" w:hAnsi="宋体"/>
          <w:sz w:val="24"/>
        </w:rPr>
        <w:t>室外北侧草坪内设地下废水集水池。集水池内设水泵，将未处理的废水引至室内处理系统，处理后排至室外排污管道。实验室废液分类桶装收集后送至处理间。</w:t>
      </w:r>
    </w:p>
    <w:p>
      <w:pPr>
        <w:adjustRightInd w:val="0"/>
        <w:snapToGrid w:val="0"/>
        <w:spacing w:line="460" w:lineRule="exact"/>
        <w:rPr>
          <w:rFonts w:hAnsi="宋体"/>
          <w:sz w:val="24"/>
        </w:rPr>
      </w:pPr>
      <w:r>
        <w:rPr>
          <w:rFonts w:hint="eastAsia" w:hAnsi="宋体"/>
          <w:sz w:val="24"/>
        </w:rPr>
        <w:t>（2）投标人需要提供该系统设计、成套装置制造、施工安装、调试，并能正常运行。</w:t>
      </w:r>
    </w:p>
    <w:p>
      <w:pPr>
        <w:adjustRightInd w:val="0"/>
        <w:snapToGrid w:val="0"/>
        <w:spacing w:line="460" w:lineRule="exact"/>
        <w:rPr>
          <w:rFonts w:hAnsi="宋体"/>
          <w:sz w:val="24"/>
        </w:rPr>
      </w:pPr>
      <w:r>
        <w:rPr>
          <w:rFonts w:hint="eastAsia" w:hAnsi="宋体"/>
          <w:sz w:val="24"/>
        </w:rPr>
        <w:t>（3）装置的设计必须全面符合现行的《室外排水设计规范》（GB50014-2021）、《建筑设计防火规范》（</w:t>
      </w:r>
      <w:r>
        <w:rPr>
          <w:rFonts w:ascii="Arial" w:hAnsi="Arial" w:cs="Arial"/>
          <w:color w:val="333333"/>
          <w:sz w:val="24"/>
        </w:rPr>
        <w:t>GB 50016</w:t>
      </w:r>
      <w:r>
        <w:rPr>
          <w:rFonts w:hint="eastAsia" w:ascii="Arial" w:hAnsi="Arial" w:cs="Arial"/>
          <w:color w:val="333333"/>
          <w:sz w:val="24"/>
        </w:rPr>
        <w:t>-</w:t>
      </w:r>
      <w:r>
        <w:rPr>
          <w:rFonts w:ascii="Arial" w:hAnsi="Arial" w:cs="Arial"/>
          <w:color w:val="333333"/>
          <w:sz w:val="24"/>
        </w:rPr>
        <w:t>2014</w:t>
      </w:r>
      <w:r>
        <w:rPr>
          <w:rFonts w:hint="eastAsia" w:ascii="Arial" w:hAnsi="Arial" w:cs="Arial"/>
          <w:color w:val="333333"/>
          <w:sz w:val="24"/>
        </w:rPr>
        <w:t>（2018版）</w:t>
      </w:r>
      <w:r>
        <w:rPr>
          <w:rFonts w:hint="eastAsia" w:hAnsi="宋体"/>
          <w:sz w:val="24"/>
        </w:rPr>
        <w:t>）等有关设计规范和规程要求，施工应符合现行有关系统施工及验收规范的要求。</w:t>
      </w:r>
    </w:p>
    <w:p>
      <w:pPr>
        <w:adjustRightInd w:val="0"/>
        <w:snapToGrid w:val="0"/>
        <w:spacing w:line="460" w:lineRule="exact"/>
        <w:rPr>
          <w:rFonts w:hAnsi="宋体"/>
          <w:sz w:val="24"/>
        </w:rPr>
      </w:pPr>
      <w:r>
        <w:rPr>
          <w:rFonts w:hint="eastAsia" w:hAnsi="宋体"/>
          <w:sz w:val="24"/>
        </w:rPr>
        <w:t>（4）装置采用全自动过程控制模式。自动控制部分包含工控组态系统-现场控制单元-水质传感器测控，能实现远程检测、远程控制及远程诊断。</w:t>
      </w:r>
    </w:p>
    <w:p>
      <w:pPr>
        <w:adjustRightInd w:val="0"/>
        <w:snapToGrid w:val="0"/>
        <w:spacing w:line="460" w:lineRule="exact"/>
        <w:rPr>
          <w:rFonts w:hAnsi="宋体"/>
          <w:sz w:val="24"/>
        </w:rPr>
      </w:pPr>
      <w:r>
        <w:rPr>
          <w:rFonts w:hint="eastAsia" w:hAnsi="宋体"/>
          <w:sz w:val="24"/>
        </w:rPr>
        <w:t>（5）装置采用模块化设计，具有组合型、开放性和可扩展性。方便根据废液收集种类选择处理流程和处理工况。方便实践实训教学过程的演示和参数调整。</w:t>
      </w:r>
    </w:p>
    <w:p>
      <w:pPr>
        <w:adjustRightInd w:val="0"/>
        <w:snapToGrid w:val="0"/>
        <w:spacing w:line="460" w:lineRule="exact"/>
        <w:rPr>
          <w:rFonts w:hAnsi="宋体"/>
          <w:sz w:val="24"/>
        </w:rPr>
      </w:pPr>
      <w:r>
        <w:rPr>
          <w:rFonts w:hint="eastAsia" w:hAnsi="宋体"/>
          <w:sz w:val="24"/>
        </w:rPr>
        <w:t>（6）装置及装置附属的主要设备、材料均应适用于废液处理的强腐蚀环境。</w:t>
      </w:r>
    </w:p>
    <w:p>
      <w:pPr>
        <w:adjustRightInd w:val="0"/>
        <w:snapToGrid w:val="0"/>
        <w:spacing w:line="460" w:lineRule="exact"/>
        <w:rPr>
          <w:rFonts w:hAnsi="宋体"/>
          <w:sz w:val="24"/>
        </w:rPr>
      </w:pPr>
      <w:r>
        <w:rPr>
          <w:rFonts w:hint="eastAsia" w:hAnsi="宋体"/>
          <w:sz w:val="24"/>
        </w:rPr>
        <w:t>（7）装置附属设备（材料）必须有明确的生产厂家，且为国家优质品牌产品或同类产品。投标人须附详细清单。</w:t>
      </w:r>
    </w:p>
    <w:p>
      <w:pPr>
        <w:adjustRightInd w:val="0"/>
        <w:snapToGrid w:val="0"/>
        <w:spacing w:line="460" w:lineRule="exact"/>
        <w:rPr>
          <w:rFonts w:hAnsi="宋体"/>
          <w:sz w:val="24"/>
        </w:rPr>
      </w:pPr>
      <w:r>
        <w:rPr>
          <w:rFonts w:hint="eastAsia" w:hAnsi="宋体"/>
          <w:sz w:val="24"/>
        </w:rPr>
        <w:t>（8）装置附属的重要设备及器材应有备用。</w:t>
      </w:r>
    </w:p>
    <w:p>
      <w:pPr>
        <w:adjustRightInd w:val="0"/>
        <w:snapToGrid w:val="0"/>
        <w:spacing w:line="460" w:lineRule="exact"/>
        <w:rPr>
          <w:rFonts w:hAnsi="宋体"/>
          <w:sz w:val="24"/>
        </w:rPr>
      </w:pPr>
      <w:r>
        <w:rPr>
          <w:rFonts w:hint="eastAsia" w:hAnsi="宋体"/>
          <w:sz w:val="24"/>
        </w:rPr>
        <w:t>（9）</w:t>
      </w:r>
      <w:r>
        <w:rPr>
          <w:rFonts w:hAnsi="宋体"/>
          <w:sz w:val="24"/>
        </w:rPr>
        <w:t>设备布置应考虑运行、维修人员的操作条件。整套</w:t>
      </w:r>
      <w:r>
        <w:rPr>
          <w:rFonts w:hint="eastAsia" w:hAnsi="宋体"/>
          <w:sz w:val="24"/>
        </w:rPr>
        <w:t>装置</w:t>
      </w:r>
      <w:r>
        <w:rPr>
          <w:rFonts w:hAnsi="宋体"/>
          <w:sz w:val="24"/>
        </w:rPr>
        <w:t>设置足够的供安装、运行、</w:t>
      </w:r>
      <w:r>
        <w:rPr>
          <w:rFonts w:hint="eastAsia" w:hAnsi="宋体"/>
          <w:sz w:val="24"/>
        </w:rPr>
        <w:t>教学、</w:t>
      </w:r>
      <w:r>
        <w:rPr>
          <w:rFonts w:hAnsi="宋体"/>
          <w:sz w:val="24"/>
        </w:rPr>
        <w:t>检修用的人孔、爬梯和通道。</w:t>
      </w:r>
    </w:p>
    <w:p>
      <w:pPr>
        <w:adjustRightInd w:val="0"/>
        <w:snapToGrid w:val="0"/>
        <w:spacing w:line="460" w:lineRule="exact"/>
        <w:rPr>
          <w:rFonts w:hAnsi="宋体"/>
          <w:sz w:val="24"/>
        </w:rPr>
      </w:pPr>
      <w:r>
        <w:rPr>
          <w:rFonts w:hint="eastAsia" w:hAnsi="宋体"/>
          <w:sz w:val="24"/>
        </w:rPr>
        <w:t>（10）处理实验装置布置应结合实际情况，发挥工艺优势，合理利用现有场地及地形，选择经济合理的布置形式，贯彻节能原则，最大限度地降低废液、废水及污泥的处理成本，保障处理实验装置在日后的运行过程中操作简单、维修方便，处理实验装置因消除二次污染。</w:t>
      </w:r>
    </w:p>
    <w:p>
      <w:pPr>
        <w:adjustRightInd w:val="0"/>
        <w:snapToGrid w:val="0"/>
        <w:spacing w:line="460" w:lineRule="exact"/>
        <w:rPr>
          <w:rFonts w:hAnsi="宋体"/>
          <w:sz w:val="24"/>
        </w:rPr>
      </w:pPr>
      <w:r>
        <w:rPr>
          <w:rFonts w:hint="eastAsia" w:hAnsi="宋体"/>
          <w:sz w:val="24"/>
        </w:rPr>
        <w:t>（11）</w:t>
      </w:r>
      <w:r>
        <w:rPr>
          <w:rFonts w:hAnsi="宋体"/>
          <w:sz w:val="24"/>
        </w:rPr>
        <w:t>处理实验装置应配套PLC控制系统，其控制方案的设计应符合工艺系统的控制要求。能实现无人值班情况下的正常运行。</w:t>
      </w:r>
    </w:p>
    <w:p>
      <w:pPr>
        <w:adjustRightInd w:val="0"/>
        <w:snapToGrid w:val="0"/>
        <w:spacing w:line="460" w:lineRule="exact"/>
        <w:rPr>
          <w:rFonts w:ascii="宋体" w:hAnsi="宋体"/>
          <w:sz w:val="24"/>
        </w:rPr>
      </w:pPr>
      <w:r>
        <w:rPr>
          <w:rFonts w:hint="eastAsia" w:hAnsi="宋体"/>
          <w:sz w:val="24"/>
        </w:rPr>
        <w:t>（12）</w:t>
      </w:r>
      <w:r>
        <w:rPr>
          <w:rFonts w:hAnsi="宋体"/>
          <w:sz w:val="24"/>
        </w:rPr>
        <w:t>机柜所选用的主要元器件(包括插接件)均采用优质原</w:t>
      </w:r>
      <w:r>
        <w:rPr>
          <w:rFonts w:hint="eastAsia" w:hAnsi="宋体"/>
          <w:sz w:val="24"/>
        </w:rPr>
        <w:t>器</w:t>
      </w:r>
      <w:r>
        <w:rPr>
          <w:rFonts w:hAnsi="宋体"/>
          <w:sz w:val="24"/>
        </w:rPr>
        <w:t>件，所有电子元器件符合国际标准和部颁标准的要求，使之具有高度的可靠性和互换性。</w:t>
      </w:r>
    </w:p>
    <w:p>
      <w:pPr>
        <w:adjustRightInd w:val="0"/>
        <w:snapToGrid w:val="0"/>
        <w:spacing w:line="460" w:lineRule="exact"/>
        <w:rPr>
          <w:sz w:val="24"/>
        </w:rPr>
      </w:pPr>
      <w:r>
        <w:rPr>
          <w:rFonts w:hAnsi="宋体"/>
          <w:sz w:val="24"/>
        </w:rPr>
        <w:t>（</w:t>
      </w:r>
      <w:r>
        <w:rPr>
          <w:rFonts w:hint="eastAsia"/>
          <w:sz w:val="24"/>
        </w:rPr>
        <w:t>13</w:t>
      </w:r>
      <w:r>
        <w:rPr>
          <w:rFonts w:hAnsi="宋体"/>
          <w:sz w:val="24"/>
        </w:rPr>
        <w:t>）一般控制导线截面不小于</w:t>
      </w:r>
      <w:r>
        <w:rPr>
          <w:rFonts w:hint="eastAsia" w:hAnsi="宋体"/>
          <w:sz w:val="24"/>
        </w:rPr>
        <w:t>1.5</w:t>
      </w:r>
      <w:r>
        <w:rPr>
          <w:rFonts w:hAnsi="宋体"/>
          <w:sz w:val="24"/>
        </w:rPr>
        <w:t>mm</w:t>
      </w:r>
      <w:r>
        <w:rPr>
          <w:rFonts w:hAnsi="宋体"/>
          <w:sz w:val="24"/>
          <w:vertAlign w:val="superscript"/>
        </w:rPr>
        <w:t>2</w:t>
      </w:r>
      <w:r>
        <w:rPr>
          <w:rFonts w:hAnsi="宋体"/>
          <w:sz w:val="24"/>
        </w:rPr>
        <w:t>，电流、电压及断路器合闸回路的控制导线截面不小于2.5mm</w:t>
      </w:r>
      <w:r>
        <w:rPr>
          <w:rFonts w:hAnsi="宋体"/>
          <w:sz w:val="24"/>
          <w:vertAlign w:val="superscript"/>
        </w:rPr>
        <w:t>2</w:t>
      </w:r>
      <w:r>
        <w:rPr>
          <w:rFonts w:hint="eastAsia" w:hAnsi="宋体"/>
          <w:sz w:val="24"/>
        </w:rPr>
        <w:t>，风机</w:t>
      </w:r>
      <w:r>
        <w:rPr>
          <w:rFonts w:hAnsi="宋体"/>
          <w:sz w:val="24"/>
        </w:rPr>
        <w:t>电</w:t>
      </w:r>
      <w:r>
        <w:rPr>
          <w:rFonts w:hint="eastAsia" w:hAnsi="宋体"/>
          <w:sz w:val="24"/>
        </w:rPr>
        <w:t>机电缆</w:t>
      </w:r>
      <w:r>
        <w:rPr>
          <w:rFonts w:hAnsi="宋体"/>
          <w:sz w:val="24"/>
        </w:rPr>
        <w:t>的</w:t>
      </w:r>
      <w:r>
        <w:rPr>
          <w:rFonts w:hint="eastAsia" w:hAnsi="宋体"/>
          <w:sz w:val="24"/>
        </w:rPr>
        <w:t>采用（</w:t>
      </w:r>
      <w:r>
        <w:rPr>
          <w:rFonts w:hAnsi="宋体"/>
          <w:sz w:val="24"/>
        </w:rPr>
        <w:t>GB-5023-97</w:t>
      </w:r>
      <w:r>
        <w:rPr>
          <w:rFonts w:hint="eastAsia" w:hAnsi="宋体"/>
          <w:sz w:val="24"/>
        </w:rPr>
        <w:t>）标准</w:t>
      </w:r>
      <w:r>
        <w:rPr>
          <w:rFonts w:hAnsi="宋体"/>
          <w:sz w:val="24"/>
        </w:rPr>
        <w:t>BV</w:t>
      </w:r>
      <w:r>
        <w:rPr>
          <w:rFonts w:hint="eastAsia" w:hAnsi="宋体"/>
          <w:sz w:val="24"/>
        </w:rPr>
        <w:t>电线，截面积</w:t>
      </w:r>
      <w:r>
        <w:rPr>
          <w:rFonts w:hAnsi="宋体"/>
          <w:sz w:val="24"/>
        </w:rPr>
        <w:t>不小于4 mm</w:t>
      </w:r>
      <w:r>
        <w:rPr>
          <w:rFonts w:hAnsi="宋体"/>
          <w:sz w:val="24"/>
          <w:vertAlign w:val="superscript"/>
        </w:rPr>
        <w:t>2</w:t>
      </w:r>
      <w:r>
        <w:rPr>
          <w:rFonts w:hint="eastAsia" w:hAnsi="宋体"/>
          <w:sz w:val="24"/>
        </w:rPr>
        <w:t>。动力电源所选择的电线，必须是三相五线，并符合国家规定接线标准。测量仪表的防护等级要求满足水下或有可能在水下的部分的防护等级为</w:t>
      </w:r>
      <w:r>
        <w:rPr>
          <w:rFonts w:hAnsi="宋体"/>
          <w:sz w:val="24"/>
        </w:rPr>
        <w:t>IP68</w:t>
      </w:r>
      <w:r>
        <w:rPr>
          <w:rFonts w:hint="eastAsia" w:hAnsi="宋体"/>
          <w:sz w:val="24"/>
        </w:rPr>
        <w:t>，水上部分的防护等级为</w:t>
      </w:r>
      <w:r>
        <w:rPr>
          <w:rFonts w:hAnsi="宋体"/>
          <w:sz w:val="24"/>
        </w:rPr>
        <w:t>IP65</w:t>
      </w:r>
      <w:r>
        <w:rPr>
          <w:rFonts w:hint="eastAsia" w:hAnsi="宋体"/>
          <w:sz w:val="24"/>
        </w:rPr>
        <w:t>。</w:t>
      </w:r>
    </w:p>
    <w:p>
      <w:pPr>
        <w:adjustRightInd w:val="0"/>
        <w:snapToGrid w:val="0"/>
        <w:spacing w:line="460" w:lineRule="exact"/>
        <w:rPr>
          <w:rFonts w:hAnsi="宋体"/>
          <w:sz w:val="24"/>
        </w:rPr>
      </w:pPr>
      <w:r>
        <w:rPr>
          <w:rFonts w:hint="eastAsia" w:hAnsi="宋体"/>
          <w:sz w:val="24"/>
        </w:rPr>
        <w:t>（14）</w:t>
      </w:r>
      <w:r>
        <w:rPr>
          <w:rFonts w:hAnsi="宋体"/>
          <w:sz w:val="24"/>
        </w:rPr>
        <w:t>PLC应具有网络通讯接口，能与其他承包方的PLC网络通讯，并提供相应的接口软件和设备。监控软件、组态软件及通讯要求等与</w:t>
      </w:r>
      <w:r>
        <w:rPr>
          <w:rFonts w:hint="eastAsia" w:hAnsi="宋体"/>
          <w:sz w:val="24"/>
        </w:rPr>
        <w:t>业主</w:t>
      </w:r>
      <w:r>
        <w:rPr>
          <w:rFonts w:hAnsi="宋体"/>
          <w:sz w:val="24"/>
        </w:rPr>
        <w:t>的其他控制网络系统一致。PLC</w:t>
      </w:r>
      <w:r>
        <w:rPr>
          <w:rFonts w:hint="eastAsia" w:hAnsi="宋体"/>
          <w:sz w:val="24"/>
        </w:rPr>
        <w:t>预留量不小于20%。</w:t>
      </w:r>
    </w:p>
    <w:p>
      <w:pPr>
        <w:adjustRightInd w:val="0"/>
        <w:snapToGrid w:val="0"/>
        <w:spacing w:line="460" w:lineRule="exact"/>
        <w:rPr>
          <w:rFonts w:hAnsi="宋体"/>
          <w:sz w:val="24"/>
        </w:rPr>
      </w:pPr>
      <w:r>
        <w:rPr>
          <w:rFonts w:hint="eastAsia" w:hAnsi="宋体"/>
          <w:sz w:val="24"/>
        </w:rPr>
        <w:t>（15）废液处理间排出的废气必须经过废气净化设备处理达到《大气污染物综合排放标准》（</w:t>
      </w:r>
      <w:r>
        <w:rPr>
          <w:rFonts w:hAnsi="宋体"/>
          <w:sz w:val="24"/>
        </w:rPr>
        <w:t>GB16297-1996</w:t>
      </w:r>
      <w:r>
        <w:rPr>
          <w:rFonts w:hint="eastAsia" w:hAnsi="宋体"/>
          <w:sz w:val="24"/>
        </w:rPr>
        <w:t>），</w:t>
      </w:r>
      <w:r>
        <w:rPr>
          <w:rFonts w:hint="eastAsia"/>
          <w:color w:val="000000"/>
          <w:kern w:val="0"/>
          <w:sz w:val="24"/>
        </w:rPr>
        <w:t>氨、硫化氢、臭气浓度执行《恶臭污染物排放标准》（GB14554-93）表1中的新扩改建二级标准、表2中的排放标准</w:t>
      </w:r>
      <w:r>
        <w:rPr>
          <w:rFonts w:hint="eastAsia" w:hAnsi="宋体"/>
          <w:sz w:val="24"/>
        </w:rPr>
        <w:t>。</w:t>
      </w:r>
    </w:p>
    <w:p>
      <w:pPr>
        <w:adjustRightInd w:val="0"/>
        <w:snapToGrid w:val="0"/>
        <w:spacing w:line="460" w:lineRule="exact"/>
        <w:ind w:left="240" w:hanging="240" w:hangingChars="100"/>
        <w:rPr>
          <w:rFonts w:hAnsi="宋体"/>
          <w:sz w:val="24"/>
        </w:rPr>
      </w:pPr>
      <w:r>
        <w:rPr>
          <w:rFonts w:hint="eastAsia" w:hAnsi="宋体"/>
          <w:sz w:val="24"/>
        </w:rPr>
        <w:t>15.1.总体功能要求:</w:t>
      </w:r>
      <w:r>
        <w:rPr>
          <w:rFonts w:hint="eastAsia" w:hAnsi="宋体"/>
          <w:sz w:val="24"/>
        </w:rPr>
        <w:br w:type="textWrapping"/>
      </w:r>
      <w:r>
        <w:rPr>
          <w:rFonts w:hint="eastAsia" w:hAnsi="宋体"/>
          <w:sz w:val="24"/>
        </w:rPr>
        <w:t>15.1.1本项目需进行处理的排风系统排放废气类型为混合废气。废气采用组合废气处理设备；</w:t>
      </w:r>
      <w:r>
        <w:rPr>
          <w:rFonts w:hint="eastAsia" w:hAnsi="宋体"/>
          <w:sz w:val="24"/>
        </w:rPr>
        <w:br w:type="textWrapping"/>
      </w:r>
      <w:r>
        <w:rPr>
          <w:rFonts w:hint="eastAsia" w:hAnsi="宋体"/>
          <w:sz w:val="24"/>
        </w:rPr>
        <w:t>15.1.2</w:t>
      </w:r>
      <w:r>
        <w:rPr>
          <w:rFonts w:hint="eastAsia" w:ascii="微软雅黑" w:hAnsi="微软雅黑" w:eastAsia="微软雅黑" w:cs="微软雅黑"/>
          <w:sz w:val="24"/>
          <w:szCs w:val="22"/>
        </w:rPr>
        <w:t>▲</w:t>
      </w:r>
      <w:r>
        <w:rPr>
          <w:rFonts w:hint="eastAsia" w:hAnsi="宋体"/>
          <w:sz w:val="24"/>
        </w:rPr>
        <w:t>废气处理后排放应稳定达到《大气污染物综合排放标准》(GB16297-1996)表2中的二级标准，</w:t>
      </w:r>
      <w:r>
        <w:rPr>
          <w:rFonts w:hint="eastAsia"/>
          <w:color w:val="000000"/>
          <w:kern w:val="0"/>
          <w:sz w:val="24"/>
        </w:rPr>
        <w:t>氨、硫化氢、臭气浓度执行《恶臭污染物排放标准》（GB14554-93）表1中的新扩改建二级标准、表2中的排放标准</w:t>
      </w:r>
      <w:r>
        <w:rPr>
          <w:rFonts w:hint="eastAsia" w:hAnsi="宋体"/>
          <w:sz w:val="24"/>
        </w:rPr>
        <w:t>；15.1.3处理设备应采用分类分级组合处理工艺，各级处理功能明确，污染物去除针对性强。具有全流程自控系统、自动加药系统、吸收液在线pH检测、气体排放在线TVOC超标报警、在线风速报警、自动补(排)液。处理全过程必须稳定，不产生二次污染。</w:t>
      </w:r>
    </w:p>
    <w:p>
      <w:pPr>
        <w:adjustRightInd w:val="0"/>
        <w:snapToGrid w:val="0"/>
        <w:spacing w:line="460" w:lineRule="exact"/>
        <w:ind w:left="240" w:hanging="240" w:hangingChars="100"/>
        <w:rPr>
          <w:rFonts w:hAnsi="宋体"/>
          <w:sz w:val="24"/>
        </w:rPr>
      </w:pPr>
      <w:r>
        <w:rPr>
          <w:rFonts w:hint="eastAsia" w:hAnsi="宋体"/>
          <w:sz w:val="24"/>
        </w:rPr>
        <w:t>15.2.设备技术参数要求：</w:t>
      </w:r>
      <w:r>
        <w:rPr>
          <w:rFonts w:hint="eastAsia" w:hAnsi="宋体"/>
          <w:sz w:val="24"/>
        </w:rPr>
        <w:br w:type="textWrapping"/>
      </w:r>
      <w:r>
        <w:rPr>
          <w:rFonts w:hint="eastAsia" w:hAnsi="宋体"/>
          <w:sz w:val="24"/>
        </w:rPr>
        <w:t>15.2.1采用初效过滤+二级两相错流吸收液吸收+催化氧化段+植物除臭+活性炭吸附层吸附工艺；</w:t>
      </w:r>
      <w:r>
        <w:rPr>
          <w:rFonts w:hint="eastAsia" w:hAnsi="宋体"/>
          <w:sz w:val="24"/>
        </w:rPr>
        <w:br w:type="textWrapping"/>
      </w:r>
      <w:r>
        <w:rPr>
          <w:rFonts w:hint="eastAsia" w:hAnsi="宋体"/>
          <w:sz w:val="24"/>
        </w:rPr>
        <w:t>15.2.2处理设备为卧式结构,箱体材质采用1.2mm厚304#不锈钢材质(内壁防腐涂层),根据实际需求可将其中1套废气处理设备喷淋段变更为等尺寸PP材质，设备整体结构必须坚固稳定，耐腐性能高。吸收工艺段、吸附工艺段之间必须具备有效的除雾装置；</w:t>
      </w:r>
      <w:r>
        <w:rPr>
          <w:rFonts w:hint="eastAsia" w:hAnsi="宋体"/>
          <w:sz w:val="24"/>
        </w:rPr>
        <w:br w:type="textWrapping"/>
      </w:r>
      <w:r>
        <w:rPr>
          <w:rFonts w:hint="eastAsia" w:hAnsi="宋体"/>
          <w:sz w:val="24"/>
        </w:rPr>
        <w:t>15.2.3活性炭装填厚度≥300mm,活性炭碘吸附值≥800mg/g,活性炭装填方式必须便于取出和填入(再生和更换),活性炭吸附层工艺设计满足技术参数功能要求；</w:t>
      </w:r>
      <w:r>
        <w:rPr>
          <w:rFonts w:hint="eastAsia" w:hAnsi="宋体"/>
          <w:sz w:val="24"/>
        </w:rPr>
        <w:br w:type="textWrapping"/>
      </w:r>
      <w:r>
        <w:rPr>
          <w:rFonts w:hint="eastAsia" w:hAnsi="宋体"/>
          <w:sz w:val="24"/>
        </w:rPr>
        <w:t>15.2.4活性炭吸附容量：甲醛吸附率≥50%、四氯化炭吸附率≥65%、甲醛去除率≥85%、四氯化炭去除率≥85%；</w:t>
      </w:r>
    </w:p>
    <w:p>
      <w:pPr>
        <w:adjustRightInd w:val="0"/>
        <w:snapToGrid w:val="0"/>
        <w:spacing w:line="460" w:lineRule="exact"/>
        <w:ind w:left="239" w:leftChars="114"/>
        <w:rPr>
          <w:rFonts w:hAnsi="宋体"/>
          <w:sz w:val="24"/>
        </w:rPr>
      </w:pPr>
      <w:r>
        <w:rPr>
          <w:rFonts w:hint="eastAsia" w:hAnsi="宋体"/>
          <w:sz w:val="24"/>
        </w:rPr>
        <w:t>15.2.5设备截面风速≤1.</w:t>
      </w:r>
      <w:r>
        <w:rPr>
          <w:rFonts w:hAnsi="宋体"/>
          <w:sz w:val="24"/>
        </w:rPr>
        <w:t>2</w:t>
      </w:r>
      <w:r>
        <w:rPr>
          <w:rFonts w:hint="eastAsia" w:hAnsi="宋体"/>
          <w:sz w:val="24"/>
        </w:rPr>
        <w:t>m/s,总停留时间≥1.5s(附计算表或说明),设备风阻≤600Pa,设备运行噪声≤65dB；</w:t>
      </w:r>
    </w:p>
    <w:p>
      <w:pPr>
        <w:adjustRightInd w:val="0"/>
        <w:snapToGrid w:val="0"/>
        <w:spacing w:line="460" w:lineRule="exact"/>
        <w:ind w:left="283" w:leftChars="135"/>
        <w:rPr>
          <w:rFonts w:hAnsi="宋体"/>
          <w:sz w:val="24"/>
        </w:rPr>
      </w:pPr>
      <w:r>
        <w:rPr>
          <w:rFonts w:hint="eastAsia" w:hAnsi="宋体"/>
          <w:sz w:val="24"/>
        </w:rPr>
        <w:t>15.2.6设备需在线显示风量、吸收液pH值、吸收液液位、压差、加药、排液、泵机实时运行状态等主要工况参数；</w:t>
      </w:r>
    </w:p>
    <w:p>
      <w:pPr>
        <w:adjustRightInd w:val="0"/>
        <w:snapToGrid w:val="0"/>
        <w:spacing w:line="460" w:lineRule="exact"/>
        <w:ind w:left="283" w:leftChars="135"/>
        <w:rPr>
          <w:rFonts w:hAnsi="宋体"/>
          <w:sz w:val="24"/>
        </w:rPr>
      </w:pPr>
      <w:r>
        <w:rPr>
          <w:rFonts w:hint="eastAsia" w:hAnsi="宋体"/>
          <w:sz w:val="24"/>
        </w:rPr>
        <w:t>15.2.7处理风量:10000m³/h；</w:t>
      </w:r>
    </w:p>
    <w:p>
      <w:pPr>
        <w:adjustRightInd w:val="0"/>
        <w:snapToGrid w:val="0"/>
        <w:spacing w:line="460" w:lineRule="exact"/>
        <w:rPr>
          <w:rFonts w:hAnsi="宋体"/>
          <w:sz w:val="24"/>
        </w:rPr>
      </w:pPr>
      <w:r>
        <w:rPr>
          <w:rFonts w:hint="eastAsia" w:hAnsi="宋体"/>
          <w:sz w:val="24"/>
        </w:rPr>
        <w:t>（16）通风系统的风机采用防腐防爆玻璃钢风机，变频电机，国家强制性产品认证CCC知名品牌产品，通风管路、阀门、配件应抗强酸、强碱、有机溶剂侵蚀和老化，应耐高温和不变形。</w:t>
      </w:r>
    </w:p>
    <w:p>
      <w:pPr>
        <w:adjustRightInd w:val="0"/>
        <w:snapToGrid w:val="0"/>
        <w:spacing w:line="460" w:lineRule="exact"/>
        <w:rPr>
          <w:rFonts w:hAnsi="宋体"/>
          <w:sz w:val="24"/>
        </w:rPr>
      </w:pPr>
      <w:r>
        <w:rPr>
          <w:rFonts w:hint="eastAsia" w:hAnsi="宋体"/>
          <w:sz w:val="24"/>
        </w:rPr>
        <w:t>（17）通风系统自控界面能显示整个通风系统图、设备启停状态、时控设定、风速、风量、温度、湿度、电压、风机运转频率、等设备工作状态等工作参数。风机变频器采用西门子、欧瑞变频器或者同档次的其他品牌，PLC控制器采用西门子产品且可编程；</w:t>
      </w:r>
    </w:p>
    <w:p>
      <w:pPr>
        <w:adjustRightInd w:val="0"/>
        <w:snapToGrid w:val="0"/>
        <w:spacing w:line="460" w:lineRule="exact"/>
        <w:rPr>
          <w:rFonts w:ascii="宋体" w:hAnsi="宋体"/>
          <w:sz w:val="24"/>
        </w:rPr>
      </w:pPr>
      <w:r>
        <w:rPr>
          <w:rFonts w:hint="eastAsia" w:hAnsi="宋体"/>
          <w:sz w:val="24"/>
        </w:rPr>
        <w:t>（18）通风系统风机必须加装隔声罩，风机入风口安装消声器，风机</w:t>
      </w:r>
      <w:r>
        <w:rPr>
          <w:rFonts w:hAnsi="宋体"/>
          <w:sz w:val="24"/>
        </w:rPr>
        <w:t>运行噪音在距风机中心1.5m范围≤</w:t>
      </w:r>
      <w:r>
        <w:rPr>
          <w:rFonts w:hint="eastAsia" w:hAnsi="宋体"/>
          <w:sz w:val="24"/>
        </w:rPr>
        <w:t>75</w:t>
      </w:r>
      <w:r>
        <w:rPr>
          <w:rFonts w:hAnsi="宋体"/>
          <w:sz w:val="24"/>
        </w:rPr>
        <w:t>dB。</w:t>
      </w:r>
      <w:r>
        <w:rPr>
          <w:rFonts w:hint="eastAsia" w:hAnsi="宋体"/>
          <w:sz w:val="24"/>
        </w:rPr>
        <w:t>消声器须在系统压差2KPa的情况下不会有任何变形现象产生，所选用的消声材料应符合设计规定的防火、防腐、防潮要求。</w:t>
      </w:r>
    </w:p>
    <w:bookmarkEnd w:id="10"/>
    <w:p>
      <w:pPr>
        <w:spacing w:line="360" w:lineRule="auto"/>
        <w:ind w:firstLine="482" w:firstLineChars="200"/>
        <w:jc w:val="left"/>
        <w:rPr>
          <w:b/>
          <w:bCs/>
          <w:sz w:val="24"/>
        </w:rPr>
      </w:pPr>
      <w:r>
        <w:rPr>
          <w:rFonts w:hint="eastAsia"/>
          <w:b/>
          <w:bCs/>
          <w:sz w:val="24"/>
        </w:rPr>
        <w:t>三</w:t>
      </w:r>
      <w:r>
        <w:rPr>
          <w:b/>
          <w:bCs/>
          <w:sz w:val="24"/>
        </w:rPr>
        <w:t>、</w:t>
      </w:r>
      <w:r>
        <w:rPr>
          <w:rFonts w:hint="eastAsia"/>
          <w:b/>
          <w:bCs/>
          <w:sz w:val="24"/>
        </w:rPr>
        <w:t>商务要求</w:t>
      </w:r>
    </w:p>
    <w:p>
      <w:pPr>
        <w:spacing w:line="360" w:lineRule="auto"/>
        <w:ind w:firstLine="480" w:firstLineChars="200"/>
        <w:rPr>
          <w:rFonts w:hint="eastAsia" w:ascii="宋体" w:hAnsi="宋体" w:cs="宋体"/>
          <w:bCs/>
          <w:sz w:val="24"/>
          <w:lang w:eastAsia="zh-CN"/>
        </w:rPr>
      </w:pPr>
      <w:r>
        <w:rPr>
          <w:rFonts w:hint="eastAsia" w:ascii="宋体" w:hAnsi="宋体" w:cs="宋体"/>
          <w:bCs/>
          <w:sz w:val="24"/>
        </w:rPr>
        <w:t>1.</w:t>
      </w:r>
      <w:r>
        <w:rPr>
          <w:rFonts w:hint="eastAsia" w:ascii="宋体" w:hAnsi="宋体" w:cs="宋体"/>
          <w:bCs/>
          <w:sz w:val="24"/>
          <w:lang w:val="en-US" w:eastAsia="zh-CN"/>
        </w:rPr>
        <w:t>提供</w:t>
      </w:r>
      <w:r>
        <w:rPr>
          <w:rFonts w:hint="eastAsia" w:ascii="宋体" w:hAnsi="宋体" w:cs="宋体"/>
          <w:bCs/>
          <w:sz w:val="24"/>
          <w:lang w:eastAsia="zh-CN"/>
        </w:rPr>
        <w:t>学校化工</w:t>
      </w:r>
      <w:r>
        <w:rPr>
          <w:rFonts w:hint="eastAsia" w:ascii="宋体" w:hAnsi="宋体" w:cs="宋体"/>
          <w:bCs/>
          <w:sz w:val="24"/>
        </w:rPr>
        <w:t>实验室废水处理二个案例中真实现场运行过程视频，包含从高浓废水（桶装）进料开始到各工艺处理段的处理装置、流程</w:t>
      </w:r>
      <w:r>
        <w:rPr>
          <w:rFonts w:hint="eastAsia" w:ascii="宋体" w:hAnsi="宋体" w:cs="宋体"/>
          <w:bCs/>
          <w:sz w:val="24"/>
          <w:lang w:eastAsia="zh-CN"/>
        </w:rPr>
        <w:t>。</w:t>
      </w:r>
    </w:p>
    <w:p>
      <w:pPr>
        <w:spacing w:line="360" w:lineRule="auto"/>
        <w:ind w:firstLine="480" w:firstLineChars="200"/>
        <w:rPr>
          <w:rFonts w:hint="eastAsia" w:ascii="宋体" w:hAnsi="宋体" w:cs="宋体"/>
          <w:bCs/>
          <w:sz w:val="24"/>
          <w:lang w:val="en-US" w:eastAsia="zh-CN"/>
        </w:rPr>
      </w:pPr>
      <w:r>
        <w:rPr>
          <w:rFonts w:hint="eastAsia" w:ascii="宋体" w:hAnsi="宋体" w:cs="宋体"/>
          <w:bCs/>
          <w:sz w:val="24"/>
          <w:lang w:val="en-US" w:eastAsia="zh-CN"/>
        </w:rPr>
        <w:t>2.视频演示能体现学生实训装置、教学区布置和建设情况。</w:t>
      </w:r>
    </w:p>
    <w:p>
      <w:pPr>
        <w:spacing w:line="360" w:lineRule="auto"/>
        <w:ind w:firstLine="480" w:firstLineChars="200"/>
        <w:rPr>
          <w:rFonts w:ascii="宋体" w:hAnsi="宋体" w:cs="宋体"/>
          <w:bCs/>
          <w:sz w:val="24"/>
        </w:rPr>
      </w:pPr>
      <w:r>
        <w:rPr>
          <w:rFonts w:hint="eastAsia" w:ascii="宋体" w:hAnsi="宋体" w:cs="宋体"/>
          <w:bCs/>
          <w:sz w:val="24"/>
          <w:lang w:val="en-US" w:eastAsia="zh-CN"/>
        </w:rPr>
        <w:t>3</w:t>
      </w:r>
      <w:r>
        <w:rPr>
          <w:rFonts w:hint="eastAsia" w:ascii="宋体" w:hAnsi="宋体" w:cs="宋体"/>
          <w:bCs/>
          <w:sz w:val="24"/>
        </w:rPr>
        <w:t>.视频演示实验室废水处理二个案例的总控操作动态界面，包含各工艺段实时动态数据、参数设置、在线出水COD指标、过程废气的VOC指标数据是否达标及预期效果。</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sz w:val="24"/>
        </w:rPr>
      </w:pPr>
      <w:r>
        <w:rPr>
          <w:rFonts w:hint="eastAsia" w:ascii="宋体" w:hAnsi="宋体" w:cs="宋体"/>
          <w:sz w:val="24"/>
        </w:rPr>
        <w:t>1.安装、调试、培训。</w:t>
      </w:r>
    </w:p>
    <w:p>
      <w:pPr>
        <w:spacing w:line="360" w:lineRule="auto"/>
        <w:ind w:firstLine="480" w:firstLineChars="200"/>
        <w:rPr>
          <w:rFonts w:ascii="宋体" w:hAnsi="宋体" w:cs="宋体"/>
          <w:sz w:val="24"/>
        </w:rPr>
      </w:pPr>
      <w:r>
        <w:rPr>
          <w:rFonts w:hint="eastAsia" w:ascii="宋体" w:hAnsi="宋体" w:cs="宋体"/>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sz w:val="24"/>
        </w:rPr>
      </w:pPr>
      <w:r>
        <w:rPr>
          <w:rFonts w:hint="eastAsia" w:ascii="宋体" w:hAnsi="宋体" w:cs="宋体"/>
          <w:sz w:val="24"/>
        </w:rPr>
        <w:t>3.货到一周内，投标人免费到招标人现场进行安装调试。</w:t>
      </w:r>
    </w:p>
    <w:p>
      <w:pPr>
        <w:pStyle w:val="5"/>
        <w:spacing w:line="360" w:lineRule="auto"/>
        <w:ind w:firstLine="480" w:firstLineChars="200"/>
        <w:rPr>
          <w:rFonts w:ascii="宋体" w:hAnsi="宋体"/>
          <w:sz w:val="24"/>
          <w:szCs w:val="24"/>
        </w:rPr>
      </w:pPr>
      <w:r>
        <w:rPr>
          <w:rFonts w:hint="eastAsia" w:ascii="宋体" w:hAnsi="宋体" w:cs="宋体"/>
          <w:sz w:val="24"/>
          <w:szCs w:val="24"/>
        </w:rPr>
        <w:t>4.投标人至少一次对招标人进行培训，设备验收前进行</w:t>
      </w:r>
      <w:r>
        <w:rPr>
          <w:rFonts w:hint="eastAsia" w:ascii="宋体" w:hAnsi="宋体"/>
          <w:sz w:val="24"/>
          <w:szCs w:val="24"/>
        </w:rPr>
        <w:t>一次不少于1天的现场操作和维护培训；培训应能使操作技术人员熟练掌握和维护保养相关技术，具有保证设备正常运行和排除设备一般故障的能力。设备验收后</w:t>
      </w:r>
      <w:r>
        <w:rPr>
          <w:rFonts w:ascii="宋体" w:hAnsi="宋体"/>
          <w:sz w:val="24"/>
          <w:szCs w:val="24"/>
        </w:rPr>
        <w:t>3</w:t>
      </w:r>
      <w:r>
        <w:rPr>
          <w:rFonts w:hint="eastAsia" w:ascii="宋体" w:hAnsi="宋体"/>
          <w:sz w:val="24"/>
          <w:szCs w:val="24"/>
        </w:rPr>
        <w:t>个月内，进行一次技术提高培训。设备验收</w:t>
      </w:r>
      <w:r>
        <w:rPr>
          <w:rFonts w:ascii="宋体" w:hAnsi="宋体"/>
          <w:sz w:val="24"/>
          <w:szCs w:val="24"/>
        </w:rPr>
        <w:t>9</w:t>
      </w:r>
      <w:r>
        <w:rPr>
          <w:rFonts w:hint="eastAsia" w:ascii="宋体" w:hAnsi="宋体"/>
          <w:sz w:val="24"/>
          <w:szCs w:val="24"/>
        </w:rPr>
        <w:t>个月内，进行一次答疑培训，主要解决设备运行中碰到的技术问题等。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1.验收分初验、终验二阶段。中标单位将所供货物运至交货地点，采购单位相关人员在场时拆箱，由采购人当场清点验收。安装调试完毕后，协助采购人，在监理方参与条件下完成系统集成初验。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2.货物从系统集成初验合格次日起7天内，出现非采购人人为因素造成的无法排除的故障，则由中标单位负责予以模块调换。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3.实验室试运行且系统负荷达到环保设施验收标准后，正常运行3个月内组织实施（需提供正常负荷条件下的检测报告）。</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w:t>
      </w:r>
      <w:r>
        <w:rPr>
          <w:rFonts w:hint="eastAsia"/>
          <w:b/>
          <w:color w:val="000000"/>
          <w:sz w:val="24"/>
        </w:rPr>
        <w:t>支付</w:t>
      </w:r>
    </w:p>
    <w:p>
      <w:pPr>
        <w:spacing w:line="360" w:lineRule="auto"/>
        <w:ind w:firstLine="480" w:firstLineChars="200"/>
        <w:rPr>
          <w:b/>
          <w:bCs/>
          <w:sz w:val="24"/>
        </w:rPr>
      </w:pPr>
      <w:r>
        <w:rPr>
          <w:color w:val="000000"/>
          <w:sz w:val="24"/>
        </w:rPr>
        <w:t>▲</w:t>
      </w:r>
      <w:r>
        <w:rPr>
          <w:rFonts w:hint="eastAsia"/>
          <w:b/>
          <w:bCs/>
          <w:color w:val="000000"/>
          <w:sz w:val="24"/>
        </w:rPr>
        <w:t>合同签订</w:t>
      </w:r>
      <w:r>
        <w:rPr>
          <w:rFonts w:hint="eastAsia"/>
          <w:b/>
          <w:bCs/>
          <w:sz w:val="24"/>
        </w:rPr>
        <w:t>后</w:t>
      </w:r>
      <w:r>
        <w:rPr>
          <w:rFonts w:hint="eastAsia"/>
          <w:b/>
          <w:bCs/>
          <w:sz w:val="24"/>
          <w:lang w:val="en-US" w:eastAsia="zh-CN"/>
        </w:rPr>
        <w:t>2</w:t>
      </w:r>
      <w:r>
        <w:rPr>
          <w:rFonts w:hint="eastAsia"/>
          <w:b/>
          <w:bCs/>
          <w:sz w:val="24"/>
        </w:rPr>
        <w:t>5</w:t>
      </w:r>
      <w:r>
        <w:rPr>
          <w:b/>
          <w:bCs/>
          <w:sz w:val="24"/>
        </w:rPr>
        <w:t>0</w:t>
      </w:r>
      <w:r>
        <w:rPr>
          <w:rFonts w:hint="eastAsia"/>
          <w:b/>
          <w:bCs/>
          <w:sz w:val="24"/>
        </w:rPr>
        <w:t>天内完成供货安装，质保期2年，自项目运行验收合格之日</w:t>
      </w:r>
      <w:r>
        <w:rPr>
          <w:rFonts w:hint="eastAsia" w:hAnsi="宋体"/>
          <w:b/>
          <w:bCs/>
          <w:sz w:val="24"/>
        </w:rPr>
        <w:t>开始</w:t>
      </w:r>
      <w:r>
        <w:rPr>
          <w:rFonts w:hint="eastAsia"/>
          <w:b/>
          <w:bCs/>
          <w:sz w:val="24"/>
        </w:rPr>
        <w:t>计算。</w:t>
      </w:r>
      <w:bookmarkStart w:id="11" w:name="_Hlk66699712"/>
    </w:p>
    <w:bookmarkEnd w:id="11"/>
    <w:p>
      <w:pPr>
        <w:spacing w:line="360" w:lineRule="auto"/>
        <w:ind w:firstLine="482" w:firstLineChars="200"/>
        <w:rPr>
          <w:b/>
          <w:sz w:val="24"/>
        </w:rPr>
      </w:pPr>
      <w:r>
        <w:rPr>
          <w:b/>
          <w:bCs/>
          <w:sz w:val="24"/>
        </w:rPr>
        <w:t>注：</w:t>
      </w:r>
      <w:r>
        <w:rPr>
          <w:rFonts w:hint="eastAsia"/>
          <w:b/>
          <w:sz w:val="24"/>
        </w:rPr>
        <w:t>1.核心部件为实验室废水处理主系统。</w:t>
      </w:r>
    </w:p>
    <w:p>
      <w:pPr>
        <w:spacing w:line="360" w:lineRule="auto"/>
        <w:ind w:firstLine="482" w:firstLineChars="200"/>
        <w:rPr>
          <w:b/>
          <w:sz w:val="24"/>
        </w:rPr>
      </w:pPr>
      <w:r>
        <w:rPr>
          <w:rFonts w:hint="eastAsia"/>
          <w:b/>
          <w:sz w:val="24"/>
        </w:rPr>
        <w:t>2.本项目需聘请具有专业资质的监理公司，监理服务有校方定点单位实施，费用由校方支付。</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440" w:lineRule="exact"/>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实验室废水处理实训系统采购合同</w:t>
      </w:r>
    </w:p>
    <w:p>
      <w:pPr>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甲方：衢州学院                  乙方：</w:t>
      </w:r>
    </w:p>
    <w:p>
      <w:pPr>
        <w:spacing w:line="440" w:lineRule="exact"/>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 xml:space="preserve">号     </w:t>
      </w:r>
      <w:r>
        <w:rPr>
          <w:rFonts w:hint="eastAsia" w:ascii="宋体" w:hAnsi="宋体"/>
          <w:color w:val="000000" w:themeColor="text1"/>
          <w:sz w:val="24"/>
          <w14:textFill>
            <w14:solidFill>
              <w14:schemeClr w14:val="tx1"/>
            </w14:solidFill>
          </w14:textFill>
        </w:rPr>
        <w:t>地址：</w:t>
      </w:r>
    </w:p>
    <w:p>
      <w:pPr>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邮编：</w:t>
      </w:r>
    </w:p>
    <w:p>
      <w:pPr>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                        联系人：</w:t>
      </w:r>
    </w:p>
    <w:p>
      <w:pPr>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                          电话：</w:t>
      </w:r>
    </w:p>
    <w:p>
      <w:pPr>
        <w:spacing w:line="44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签约地点：浙江衢州</w:t>
      </w:r>
    </w:p>
    <w:p>
      <w:pPr>
        <w:spacing w:line="440" w:lineRule="exact"/>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一、说明</w:t>
      </w:r>
    </w:p>
    <w:p>
      <w:pPr>
        <w:pStyle w:val="15"/>
        <w:spacing w:before="0" w:beforeAutospacing="0" w:after="0" w:afterAutospacing="0" w:line="440" w:lineRule="exact"/>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1.依据《中华人民共和国民法典》的规定，现就甲方向乙方购买</w:t>
      </w:r>
      <w:r>
        <w:rPr>
          <w:rFonts w:hint="eastAsia"/>
          <w:b/>
          <w:bCs/>
          <w:color w:val="000000" w:themeColor="text1"/>
          <w:kern w:val="2"/>
          <w14:textFill>
            <w14:solidFill>
              <w14:schemeClr w14:val="tx1"/>
            </w14:solidFill>
          </w14:textFill>
        </w:rPr>
        <w:t>实验室废水处理实训系统</w:t>
      </w:r>
      <w:r>
        <w:rPr>
          <w:rFonts w:hint="eastAsia"/>
          <w:color w:val="000000" w:themeColor="text1"/>
          <w:kern w:val="2"/>
          <w14:textFill>
            <w14:solidFill>
              <w14:schemeClr w14:val="tx1"/>
            </w14:solidFill>
          </w14:textFill>
        </w:rPr>
        <w:t>一套，经双方协商一致本着平等自愿的原则签订本合同。</w:t>
      </w:r>
    </w:p>
    <w:p>
      <w:pPr>
        <w:pStyle w:val="15"/>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5"/>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440"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9"/>
              <w:snapToGrid w:val="0"/>
              <w:spacing w:line="440" w:lineRule="exact"/>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9"/>
              <w:snapToGrid w:val="0"/>
              <w:spacing w:line="440" w:lineRule="exact"/>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9"/>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9"/>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9"/>
              <w:snapToGrid w:val="0"/>
              <w:spacing w:line="440" w:lineRule="exact"/>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9"/>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9"/>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9"/>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440" w:lineRule="exact"/>
              <w:jc w:val="left"/>
              <w:rPr>
                <w:rFonts w:ascii="宋体"/>
                <w:color w:val="000000" w:themeColor="text1"/>
                <w:sz w:val="24"/>
                <w14:textFill>
                  <w14:solidFill>
                    <w14:schemeClr w14:val="tx1"/>
                  </w14:solidFill>
                </w14:textFill>
              </w:rPr>
            </w:pPr>
          </w:p>
        </w:tc>
        <w:tc>
          <w:tcPr>
            <w:tcW w:w="2127" w:type="dxa"/>
            <w:vAlign w:val="center"/>
          </w:tcPr>
          <w:p>
            <w:pPr>
              <w:pStyle w:val="2"/>
              <w:spacing w:line="440" w:lineRule="exact"/>
              <w:ind w:left="2250" w:hanging="1200"/>
            </w:pPr>
          </w:p>
        </w:tc>
        <w:tc>
          <w:tcPr>
            <w:tcW w:w="992" w:type="dxa"/>
            <w:vAlign w:val="center"/>
          </w:tcPr>
          <w:p>
            <w:pPr>
              <w:spacing w:line="440" w:lineRule="exact"/>
              <w:jc w:val="center"/>
              <w:rPr>
                <w:rFonts w:ascii="宋体"/>
                <w:color w:val="000000" w:themeColor="text1"/>
                <w:sz w:val="24"/>
                <w14:textFill>
                  <w14:solidFill>
                    <w14:schemeClr w14:val="tx1"/>
                  </w14:solidFill>
                </w14:textFill>
              </w:rPr>
            </w:pPr>
          </w:p>
        </w:tc>
        <w:tc>
          <w:tcPr>
            <w:tcW w:w="709" w:type="dxa"/>
            <w:vAlign w:val="center"/>
          </w:tcPr>
          <w:p>
            <w:pPr>
              <w:spacing w:line="440" w:lineRule="exact"/>
              <w:jc w:val="center"/>
              <w:rPr>
                <w:rFonts w:ascii="宋体"/>
                <w:color w:val="000000" w:themeColor="text1"/>
                <w:sz w:val="24"/>
                <w14:textFill>
                  <w14:solidFill>
                    <w14:schemeClr w14:val="tx1"/>
                  </w14:solidFill>
                </w14:textFill>
              </w:rPr>
            </w:pPr>
          </w:p>
        </w:tc>
        <w:tc>
          <w:tcPr>
            <w:tcW w:w="850" w:type="dxa"/>
            <w:vAlign w:val="center"/>
          </w:tcPr>
          <w:p>
            <w:pPr>
              <w:spacing w:line="440" w:lineRule="exact"/>
              <w:jc w:val="center"/>
              <w:rPr>
                <w:rFonts w:ascii="宋体"/>
                <w:color w:val="000000" w:themeColor="text1"/>
                <w:sz w:val="24"/>
                <w14:textFill>
                  <w14:solidFill>
                    <w14:schemeClr w14:val="tx1"/>
                  </w14:solidFill>
                </w14:textFill>
              </w:rPr>
            </w:pPr>
          </w:p>
        </w:tc>
        <w:tc>
          <w:tcPr>
            <w:tcW w:w="992" w:type="dxa"/>
            <w:vAlign w:val="center"/>
          </w:tcPr>
          <w:p>
            <w:pPr>
              <w:spacing w:line="440" w:lineRule="exact"/>
              <w:jc w:val="left"/>
              <w:rPr>
                <w:rFonts w:ascii="宋体"/>
                <w:color w:val="000000" w:themeColor="text1"/>
                <w:sz w:val="24"/>
                <w14:textFill>
                  <w14:solidFill>
                    <w14:schemeClr w14:val="tx1"/>
                  </w14:solidFill>
                </w14:textFill>
              </w:rPr>
            </w:pPr>
          </w:p>
        </w:tc>
        <w:tc>
          <w:tcPr>
            <w:tcW w:w="1024" w:type="dxa"/>
            <w:vAlign w:val="center"/>
          </w:tcPr>
          <w:p>
            <w:pPr>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440" w:lineRule="exact"/>
              <w:jc w:val="left"/>
              <w:rPr>
                <w:rFonts w:ascii="宋体"/>
                <w:color w:val="000000" w:themeColor="text1"/>
                <w:sz w:val="24"/>
                <w14:textFill>
                  <w14:solidFill>
                    <w14:schemeClr w14:val="tx1"/>
                  </w14:solidFill>
                </w14:textFill>
              </w:rPr>
            </w:pPr>
          </w:p>
        </w:tc>
        <w:tc>
          <w:tcPr>
            <w:tcW w:w="2127" w:type="dxa"/>
            <w:vAlign w:val="center"/>
          </w:tcPr>
          <w:p>
            <w:pPr>
              <w:spacing w:line="440" w:lineRule="exact"/>
              <w:jc w:val="left"/>
              <w:rPr>
                <w:rFonts w:ascii="宋体"/>
                <w:color w:val="000000" w:themeColor="text1"/>
                <w:sz w:val="24"/>
                <w14:textFill>
                  <w14:solidFill>
                    <w14:schemeClr w14:val="tx1"/>
                  </w14:solidFill>
                </w14:textFill>
              </w:rPr>
            </w:pPr>
          </w:p>
        </w:tc>
        <w:tc>
          <w:tcPr>
            <w:tcW w:w="992" w:type="dxa"/>
            <w:vAlign w:val="center"/>
          </w:tcPr>
          <w:p>
            <w:pPr>
              <w:spacing w:line="440" w:lineRule="exact"/>
              <w:jc w:val="center"/>
              <w:rPr>
                <w:rFonts w:ascii="宋体"/>
                <w:color w:val="000000" w:themeColor="text1"/>
                <w:sz w:val="24"/>
                <w14:textFill>
                  <w14:solidFill>
                    <w14:schemeClr w14:val="tx1"/>
                  </w14:solidFill>
                </w14:textFill>
              </w:rPr>
            </w:pPr>
          </w:p>
        </w:tc>
        <w:tc>
          <w:tcPr>
            <w:tcW w:w="709" w:type="dxa"/>
            <w:vAlign w:val="center"/>
          </w:tcPr>
          <w:p>
            <w:pPr>
              <w:spacing w:line="440" w:lineRule="exact"/>
              <w:jc w:val="center"/>
              <w:rPr>
                <w:rFonts w:ascii="宋体"/>
                <w:color w:val="000000" w:themeColor="text1"/>
                <w:sz w:val="24"/>
                <w14:textFill>
                  <w14:solidFill>
                    <w14:schemeClr w14:val="tx1"/>
                  </w14:solidFill>
                </w14:textFill>
              </w:rPr>
            </w:pPr>
          </w:p>
        </w:tc>
        <w:tc>
          <w:tcPr>
            <w:tcW w:w="850" w:type="dxa"/>
            <w:vAlign w:val="center"/>
          </w:tcPr>
          <w:p>
            <w:pPr>
              <w:spacing w:line="440" w:lineRule="exact"/>
              <w:jc w:val="center"/>
              <w:rPr>
                <w:rFonts w:ascii="宋体"/>
                <w:color w:val="000000" w:themeColor="text1"/>
                <w:sz w:val="24"/>
                <w14:textFill>
                  <w14:solidFill>
                    <w14:schemeClr w14:val="tx1"/>
                  </w14:solidFill>
                </w14:textFill>
              </w:rPr>
            </w:pPr>
          </w:p>
        </w:tc>
        <w:tc>
          <w:tcPr>
            <w:tcW w:w="992" w:type="dxa"/>
            <w:vAlign w:val="center"/>
          </w:tcPr>
          <w:p>
            <w:pPr>
              <w:spacing w:line="440" w:lineRule="exact"/>
              <w:jc w:val="left"/>
              <w:rPr>
                <w:rFonts w:ascii="宋体"/>
                <w:color w:val="000000" w:themeColor="text1"/>
                <w:sz w:val="24"/>
                <w14:textFill>
                  <w14:solidFill>
                    <w14:schemeClr w14:val="tx1"/>
                  </w14:solidFill>
                </w14:textFill>
              </w:rPr>
            </w:pPr>
          </w:p>
        </w:tc>
        <w:tc>
          <w:tcPr>
            <w:tcW w:w="1024" w:type="dxa"/>
            <w:vAlign w:val="center"/>
          </w:tcPr>
          <w:p>
            <w:pPr>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440" w:lineRule="exact"/>
              <w:jc w:val="left"/>
              <w:rPr>
                <w:rFonts w:eastAsiaTheme="minorEastAsia"/>
                <w:color w:val="000000"/>
                <w:szCs w:val="21"/>
                <w:lang w:val="zh-CN"/>
              </w:rPr>
            </w:pPr>
          </w:p>
        </w:tc>
        <w:tc>
          <w:tcPr>
            <w:tcW w:w="2127" w:type="dxa"/>
            <w:vAlign w:val="center"/>
          </w:tcPr>
          <w:p>
            <w:pPr>
              <w:spacing w:line="440" w:lineRule="exact"/>
              <w:jc w:val="left"/>
              <w:rPr>
                <w:rFonts w:ascii="宋体"/>
                <w:color w:val="000000" w:themeColor="text1"/>
                <w:sz w:val="24"/>
                <w14:textFill>
                  <w14:solidFill>
                    <w14:schemeClr w14:val="tx1"/>
                  </w14:solidFill>
                </w14:textFill>
              </w:rPr>
            </w:pPr>
          </w:p>
        </w:tc>
        <w:tc>
          <w:tcPr>
            <w:tcW w:w="992" w:type="dxa"/>
            <w:vAlign w:val="center"/>
          </w:tcPr>
          <w:p>
            <w:pPr>
              <w:spacing w:line="440" w:lineRule="exact"/>
              <w:jc w:val="center"/>
              <w:rPr>
                <w:rFonts w:ascii="宋体"/>
                <w:color w:val="000000" w:themeColor="text1"/>
                <w:sz w:val="24"/>
                <w14:textFill>
                  <w14:solidFill>
                    <w14:schemeClr w14:val="tx1"/>
                  </w14:solidFill>
                </w14:textFill>
              </w:rPr>
            </w:pPr>
          </w:p>
        </w:tc>
        <w:tc>
          <w:tcPr>
            <w:tcW w:w="709" w:type="dxa"/>
            <w:vAlign w:val="center"/>
          </w:tcPr>
          <w:p>
            <w:pPr>
              <w:spacing w:line="440" w:lineRule="exact"/>
              <w:jc w:val="center"/>
              <w:rPr>
                <w:rFonts w:ascii="宋体"/>
                <w:color w:val="000000" w:themeColor="text1"/>
                <w:sz w:val="24"/>
                <w14:textFill>
                  <w14:solidFill>
                    <w14:schemeClr w14:val="tx1"/>
                  </w14:solidFill>
                </w14:textFill>
              </w:rPr>
            </w:pPr>
          </w:p>
        </w:tc>
        <w:tc>
          <w:tcPr>
            <w:tcW w:w="850" w:type="dxa"/>
            <w:vAlign w:val="center"/>
          </w:tcPr>
          <w:p>
            <w:pPr>
              <w:spacing w:line="440" w:lineRule="exact"/>
              <w:jc w:val="center"/>
              <w:rPr>
                <w:rFonts w:ascii="宋体"/>
                <w:color w:val="000000" w:themeColor="text1"/>
                <w:sz w:val="24"/>
                <w14:textFill>
                  <w14:solidFill>
                    <w14:schemeClr w14:val="tx1"/>
                  </w14:solidFill>
                </w14:textFill>
              </w:rPr>
            </w:pPr>
          </w:p>
        </w:tc>
        <w:tc>
          <w:tcPr>
            <w:tcW w:w="992" w:type="dxa"/>
            <w:vAlign w:val="center"/>
          </w:tcPr>
          <w:p>
            <w:pPr>
              <w:spacing w:line="440" w:lineRule="exact"/>
              <w:jc w:val="left"/>
              <w:rPr>
                <w:rFonts w:ascii="宋体"/>
                <w:color w:val="000000" w:themeColor="text1"/>
                <w:sz w:val="24"/>
                <w14:textFill>
                  <w14:solidFill>
                    <w14:schemeClr w14:val="tx1"/>
                  </w14:solidFill>
                </w14:textFill>
              </w:rPr>
            </w:pPr>
          </w:p>
        </w:tc>
        <w:tc>
          <w:tcPr>
            <w:tcW w:w="1024" w:type="dxa"/>
            <w:vAlign w:val="center"/>
          </w:tcPr>
          <w:p>
            <w:pPr>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440" w:lineRule="exact"/>
              <w:rPr>
                <w:rFonts w:ascii="Times New Roman" w:hAnsi="Times New Roman" w:cs="Times New Roman" w:eastAsiaTheme="minorEastAsia"/>
                <w:b w:val="0"/>
                <w:bCs w:val="0"/>
                <w:color w:val="000000"/>
                <w:kern w:val="2"/>
                <w:sz w:val="21"/>
                <w:szCs w:val="21"/>
                <w:lang w:val="zh-CN"/>
              </w:rPr>
            </w:pPr>
          </w:p>
        </w:tc>
        <w:tc>
          <w:tcPr>
            <w:tcW w:w="2127" w:type="dxa"/>
            <w:vAlign w:val="center"/>
          </w:tcPr>
          <w:p>
            <w:pPr>
              <w:spacing w:line="440" w:lineRule="exact"/>
              <w:jc w:val="left"/>
              <w:rPr>
                <w:rFonts w:ascii="宋体"/>
                <w:color w:val="000000" w:themeColor="text1"/>
                <w:sz w:val="24"/>
                <w14:textFill>
                  <w14:solidFill>
                    <w14:schemeClr w14:val="tx1"/>
                  </w14:solidFill>
                </w14:textFill>
              </w:rPr>
            </w:pPr>
          </w:p>
        </w:tc>
        <w:tc>
          <w:tcPr>
            <w:tcW w:w="992" w:type="dxa"/>
            <w:vAlign w:val="center"/>
          </w:tcPr>
          <w:p>
            <w:pPr>
              <w:spacing w:line="440" w:lineRule="exact"/>
              <w:jc w:val="center"/>
              <w:rPr>
                <w:rFonts w:ascii="宋体"/>
                <w:color w:val="000000" w:themeColor="text1"/>
                <w:sz w:val="24"/>
                <w14:textFill>
                  <w14:solidFill>
                    <w14:schemeClr w14:val="tx1"/>
                  </w14:solidFill>
                </w14:textFill>
              </w:rPr>
            </w:pPr>
          </w:p>
        </w:tc>
        <w:tc>
          <w:tcPr>
            <w:tcW w:w="709" w:type="dxa"/>
            <w:vAlign w:val="center"/>
          </w:tcPr>
          <w:p>
            <w:pPr>
              <w:spacing w:line="440" w:lineRule="exact"/>
              <w:jc w:val="center"/>
              <w:rPr>
                <w:rFonts w:ascii="宋体"/>
                <w:color w:val="000000" w:themeColor="text1"/>
                <w:sz w:val="24"/>
                <w14:textFill>
                  <w14:solidFill>
                    <w14:schemeClr w14:val="tx1"/>
                  </w14:solidFill>
                </w14:textFill>
              </w:rPr>
            </w:pPr>
          </w:p>
        </w:tc>
        <w:tc>
          <w:tcPr>
            <w:tcW w:w="850" w:type="dxa"/>
            <w:vAlign w:val="center"/>
          </w:tcPr>
          <w:p>
            <w:pPr>
              <w:spacing w:line="440" w:lineRule="exact"/>
              <w:jc w:val="center"/>
              <w:rPr>
                <w:rFonts w:ascii="宋体"/>
                <w:color w:val="000000" w:themeColor="text1"/>
                <w:sz w:val="24"/>
                <w14:textFill>
                  <w14:solidFill>
                    <w14:schemeClr w14:val="tx1"/>
                  </w14:solidFill>
                </w14:textFill>
              </w:rPr>
            </w:pPr>
          </w:p>
        </w:tc>
        <w:tc>
          <w:tcPr>
            <w:tcW w:w="992" w:type="dxa"/>
            <w:vAlign w:val="center"/>
          </w:tcPr>
          <w:p>
            <w:pPr>
              <w:spacing w:line="440" w:lineRule="exact"/>
              <w:jc w:val="left"/>
              <w:rPr>
                <w:rFonts w:ascii="宋体"/>
                <w:color w:val="000000" w:themeColor="text1"/>
                <w:sz w:val="24"/>
                <w14:textFill>
                  <w14:solidFill>
                    <w14:schemeClr w14:val="tx1"/>
                  </w14:solidFill>
                </w14:textFill>
              </w:rPr>
            </w:pPr>
          </w:p>
        </w:tc>
        <w:tc>
          <w:tcPr>
            <w:tcW w:w="1024" w:type="dxa"/>
            <w:vAlign w:val="center"/>
          </w:tcPr>
          <w:p>
            <w:pPr>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440" w:lineRule="exact"/>
              <w:rPr>
                <w:rFonts w:ascii="Times New Roman" w:hAnsi="Times New Roman" w:cs="Times New Roman" w:eastAsiaTheme="minorEastAsia"/>
                <w:b w:val="0"/>
                <w:bCs w:val="0"/>
                <w:color w:val="000000"/>
                <w:kern w:val="2"/>
                <w:sz w:val="21"/>
                <w:szCs w:val="21"/>
                <w:lang w:val="zh-CN"/>
              </w:rPr>
            </w:pPr>
          </w:p>
        </w:tc>
        <w:tc>
          <w:tcPr>
            <w:tcW w:w="2127" w:type="dxa"/>
            <w:vAlign w:val="center"/>
          </w:tcPr>
          <w:p>
            <w:pPr>
              <w:spacing w:line="440" w:lineRule="exact"/>
              <w:jc w:val="left"/>
              <w:rPr>
                <w:rFonts w:ascii="宋体"/>
                <w:color w:val="000000" w:themeColor="text1"/>
                <w:sz w:val="24"/>
                <w14:textFill>
                  <w14:solidFill>
                    <w14:schemeClr w14:val="tx1"/>
                  </w14:solidFill>
                </w14:textFill>
              </w:rPr>
            </w:pPr>
          </w:p>
        </w:tc>
        <w:tc>
          <w:tcPr>
            <w:tcW w:w="992" w:type="dxa"/>
            <w:vAlign w:val="center"/>
          </w:tcPr>
          <w:p>
            <w:pPr>
              <w:spacing w:line="440" w:lineRule="exact"/>
              <w:jc w:val="center"/>
              <w:rPr>
                <w:rFonts w:ascii="宋体"/>
                <w:color w:val="000000" w:themeColor="text1"/>
                <w:sz w:val="24"/>
                <w14:textFill>
                  <w14:solidFill>
                    <w14:schemeClr w14:val="tx1"/>
                  </w14:solidFill>
                </w14:textFill>
              </w:rPr>
            </w:pPr>
          </w:p>
        </w:tc>
        <w:tc>
          <w:tcPr>
            <w:tcW w:w="709" w:type="dxa"/>
            <w:vAlign w:val="center"/>
          </w:tcPr>
          <w:p>
            <w:pPr>
              <w:spacing w:line="440" w:lineRule="exact"/>
              <w:jc w:val="center"/>
              <w:rPr>
                <w:rFonts w:ascii="宋体"/>
                <w:color w:val="000000" w:themeColor="text1"/>
                <w:sz w:val="24"/>
                <w14:textFill>
                  <w14:solidFill>
                    <w14:schemeClr w14:val="tx1"/>
                  </w14:solidFill>
                </w14:textFill>
              </w:rPr>
            </w:pPr>
          </w:p>
        </w:tc>
        <w:tc>
          <w:tcPr>
            <w:tcW w:w="850" w:type="dxa"/>
            <w:vAlign w:val="center"/>
          </w:tcPr>
          <w:p>
            <w:pPr>
              <w:spacing w:line="440" w:lineRule="exact"/>
              <w:jc w:val="center"/>
              <w:rPr>
                <w:rFonts w:ascii="宋体"/>
                <w:color w:val="000000" w:themeColor="text1"/>
                <w:sz w:val="24"/>
                <w14:textFill>
                  <w14:solidFill>
                    <w14:schemeClr w14:val="tx1"/>
                  </w14:solidFill>
                </w14:textFill>
              </w:rPr>
            </w:pPr>
          </w:p>
        </w:tc>
        <w:tc>
          <w:tcPr>
            <w:tcW w:w="992" w:type="dxa"/>
            <w:vAlign w:val="center"/>
          </w:tcPr>
          <w:p>
            <w:pPr>
              <w:spacing w:line="440" w:lineRule="exact"/>
              <w:jc w:val="left"/>
              <w:rPr>
                <w:rFonts w:ascii="宋体"/>
                <w:color w:val="000000" w:themeColor="text1"/>
                <w:sz w:val="24"/>
                <w14:textFill>
                  <w14:solidFill>
                    <w14:schemeClr w14:val="tx1"/>
                  </w14:solidFill>
                </w14:textFill>
              </w:rPr>
            </w:pPr>
          </w:p>
        </w:tc>
        <w:tc>
          <w:tcPr>
            <w:tcW w:w="1024" w:type="dxa"/>
            <w:vAlign w:val="center"/>
          </w:tcPr>
          <w:p>
            <w:pPr>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9"/>
              <w:snapToGrid w:val="0"/>
              <w:spacing w:line="440" w:lineRule="exact"/>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合计</w:t>
            </w:r>
          </w:p>
        </w:tc>
        <w:tc>
          <w:tcPr>
            <w:tcW w:w="709" w:type="dxa"/>
            <w:vAlign w:val="center"/>
          </w:tcPr>
          <w:p>
            <w:pPr>
              <w:pStyle w:val="9"/>
              <w:snapToGrid w:val="0"/>
              <w:spacing w:line="440" w:lineRule="exact"/>
              <w:rPr>
                <w:rFonts w:hAnsi="宋体"/>
                <w:color w:val="000000" w:themeColor="text1"/>
                <w:sz w:val="24"/>
                <w:szCs w:val="24"/>
                <w14:textFill>
                  <w14:solidFill>
                    <w14:schemeClr w14:val="tx1"/>
                  </w14:solidFill>
                </w14:textFill>
              </w:rPr>
            </w:pPr>
          </w:p>
        </w:tc>
        <w:tc>
          <w:tcPr>
            <w:tcW w:w="2866" w:type="dxa"/>
            <w:gridSpan w:val="3"/>
            <w:vAlign w:val="center"/>
          </w:tcPr>
          <w:p>
            <w:pPr>
              <w:pStyle w:val="9"/>
              <w:snapToGrid w:val="0"/>
              <w:spacing w:line="440" w:lineRule="exact"/>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snapToGrid w:val="0"/>
              <w:spacing w:line="440" w:lineRule="exact"/>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合同总价：（人民币）                 ￥：</w:t>
            </w:r>
          </w:p>
        </w:tc>
      </w:tr>
    </w:tbl>
    <w:p>
      <w:pPr>
        <w:pStyle w:val="9"/>
        <w:snapToGrid w:val="0"/>
        <w:spacing w:line="440" w:lineRule="exact"/>
        <w:ind w:left="-34" w:leftChars="-85" w:hanging="144" w:hangingChars="6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440" w:lineRule="exact"/>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5"/>
        <w:widowControl w:val="0"/>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5"/>
        <w:widowControl w:val="0"/>
        <w:spacing w:before="0" w:beforeAutospacing="0" w:after="0" w:afterAutospacing="0" w:line="440" w:lineRule="exact"/>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5"/>
        <w:spacing w:before="0" w:beforeAutospacing="0" w:after="0" w:afterAutospacing="0" w:line="44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5"/>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5"/>
        <w:spacing w:before="0" w:beforeAutospacing="0" w:after="0" w:afterAutospacing="0" w:line="440" w:lineRule="exact"/>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440" w:lineRule="exact"/>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440" w:lineRule="exact"/>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9"/>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2023</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9"/>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乙方提供对产品的质量保证期为项目运行验收合格之后2年。如因甲方原因导致不能及时安装的，产品的质保期自运行验收通过之日起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9"/>
        <w:snapToGrid w:val="0"/>
        <w:spacing w:line="440" w:lineRule="exact"/>
        <w:ind w:firstLine="480" w:firstLineChars="200"/>
        <w:jc w:val="both"/>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9"/>
        <w:snapToGrid w:val="0"/>
        <w:spacing w:line="444" w:lineRule="exact"/>
        <w:ind w:firstLine="480" w:firstLineChars="200"/>
        <w:jc w:val="both"/>
        <w:rPr>
          <w:rFonts w:hAnsi="宋体"/>
          <w:color w:val="auto"/>
          <w:sz w:val="24"/>
          <w:szCs w:val="24"/>
        </w:rPr>
      </w:pPr>
      <w:r>
        <w:rPr>
          <w:rFonts w:hint="eastAsia" w:hAnsi="宋体"/>
          <w:color w:val="auto"/>
          <w:sz w:val="24"/>
          <w:szCs w:val="24"/>
        </w:rPr>
        <w:t>5.乙方须严格按合同清单供货，因不可抗拒因素导致不能按原方案供货的，乙方根据现场建筑及装饰施工完成情况因地制宜优化供货方案（需甲方和监理单位共同签字确认），其中产品的规格及数量调整需事先经甲方同意并签字确认，并完成合理性专家论证，调整范围不超过合同总价的10%，且价款不得调增。</w:t>
      </w:r>
    </w:p>
    <w:p>
      <w:pPr>
        <w:pStyle w:val="15"/>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9"/>
        <w:widowControl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widowControl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9"/>
        <w:snapToGrid w:val="0"/>
        <w:spacing w:line="440" w:lineRule="exact"/>
        <w:ind w:firstLine="480" w:firstLineChars="200"/>
        <w:jc w:val="both"/>
        <w:rPr>
          <w:rFonts w:hint="eastAsia"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9"/>
        <w:snapToGrid w:val="0"/>
        <w:spacing w:line="444" w:lineRule="exact"/>
        <w:ind w:firstLine="480" w:firstLineChars="200"/>
        <w:jc w:val="both"/>
        <w:rPr>
          <w:rFonts w:hAnsi="宋体"/>
          <w:color w:val="auto"/>
          <w:sz w:val="24"/>
          <w:szCs w:val="24"/>
        </w:rPr>
      </w:pPr>
      <w:r>
        <w:rPr>
          <w:rFonts w:hint="eastAsia" w:hAnsi="宋体"/>
          <w:color w:val="auto"/>
          <w:sz w:val="24"/>
          <w:szCs w:val="24"/>
        </w:rPr>
        <w:t>6.如现场建筑及装饰施工完成情况与供货前图纸发生变更导致乙方产品的规格及数量发生变化的，双方应重新就交付时间及价款进行协商确认，最终验收以专家论证结果为准。</w:t>
      </w:r>
    </w:p>
    <w:p>
      <w:pPr>
        <w:pStyle w:val="15"/>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tabs>
          <w:tab w:val="left" w:pos="297"/>
        </w:tabs>
        <w:spacing w:after="0" w:line="444" w:lineRule="exact"/>
        <w:ind w:left="0" w:leftChars="0" w:firstLine="480" w:firstLineChars="200"/>
        <w:rPr>
          <w:rFonts w:ascii="宋体"/>
          <w:color w:val="auto"/>
          <w:sz w:val="24"/>
        </w:rPr>
      </w:pPr>
      <w:r>
        <w:rPr>
          <w:rFonts w:ascii="宋体" w:hAnsi="宋体"/>
          <w:color w:val="auto"/>
          <w:sz w:val="24"/>
        </w:rPr>
        <w:t>1.</w:t>
      </w:r>
      <w:r>
        <w:rPr>
          <w:rFonts w:hint="eastAsia" w:ascii="宋体" w:hAnsi="宋体"/>
          <w:color w:val="auto"/>
          <w:kern w:val="0"/>
          <w:sz w:val="24"/>
        </w:rPr>
        <w:t>合同签订后</w:t>
      </w:r>
      <w:r>
        <w:rPr>
          <w:rFonts w:hint="eastAsia" w:ascii="宋体" w:hAnsi="宋体"/>
          <w:b/>
          <w:bCs/>
          <w:color w:val="auto"/>
          <w:kern w:val="0"/>
          <w:sz w:val="24"/>
        </w:rPr>
        <w:t>400天</w:t>
      </w:r>
      <w:r>
        <w:rPr>
          <w:rFonts w:hint="eastAsia" w:ascii="宋体" w:hAnsi="宋体"/>
          <w:color w:val="auto"/>
          <w:kern w:val="0"/>
          <w:sz w:val="24"/>
        </w:rPr>
        <w:t>内完成供货、线路、设备</w:t>
      </w:r>
      <w:r>
        <w:rPr>
          <w:rFonts w:hint="eastAsia" w:ascii="宋体" w:hAnsi="宋体"/>
          <w:color w:val="auto"/>
          <w:kern w:val="0"/>
          <w:sz w:val="24"/>
          <w:lang w:val="en-US" w:eastAsia="zh-CN"/>
        </w:rPr>
        <w:t>安装</w:t>
      </w:r>
      <w:r>
        <w:rPr>
          <w:rFonts w:hint="eastAsia" w:ascii="宋体" w:hAnsi="宋体"/>
          <w:color w:val="auto"/>
          <w:kern w:val="0"/>
          <w:sz w:val="24"/>
        </w:rPr>
        <w:t>和调试，如现场环境条件未达到设备安装要求，由甲乙双方协商延期并出具情况说明。</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tabs>
          <w:tab w:val="left" w:pos="297"/>
        </w:tabs>
        <w:spacing w:after="0" w:line="440" w:lineRule="exact"/>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440" w:lineRule="exact"/>
        <w:ind w:firstLine="480" w:firstLineChars="200"/>
        <w:jc w:val="left"/>
        <w:rPr>
          <w:rFonts w:ascii="宋体" w:hAnsi="宋体"/>
          <w:sz w:val="24"/>
        </w:rPr>
      </w:pPr>
      <w:r>
        <w:rPr>
          <w:rFonts w:hint="eastAsia" w:ascii="宋体" w:hAnsi="宋体"/>
          <w:sz w:val="24"/>
        </w:rPr>
        <w:t>1.合同签订后，甲方分三次付款。第一次在合同生效以及具备实施条件（乙方提供发票和银行或保险公司预付款等额保函）后7个工作日内甲方支付合同总价的40%作为预付款给乙方，第二次全部到货以及具备实施条件后7个工作日内甲方支付合同总价的30%给乙方。第三次在项目全部完成并运行验收合格后10个工作日内支付合同余款。</w:t>
      </w:r>
    </w:p>
    <w:p>
      <w:pPr>
        <w:spacing w:line="444" w:lineRule="exact"/>
        <w:ind w:firstLine="480" w:firstLineChars="200"/>
        <w:rPr>
          <w:rFonts w:ascii="宋体" w:hAnsi="宋体"/>
          <w:color w:val="auto"/>
          <w:sz w:val="24"/>
        </w:rPr>
      </w:pPr>
      <w:r>
        <w:rPr>
          <w:rFonts w:hint="eastAsia" w:ascii="宋体" w:hAnsi="宋体" w:cs="宋体"/>
          <w:color w:val="000000" w:themeColor="text1"/>
          <w:sz w:val="24"/>
          <w14:textFill>
            <w14:solidFill>
              <w14:schemeClr w14:val="tx1"/>
            </w14:solidFill>
          </w14:textFill>
        </w:rPr>
        <w:t>2.</w:t>
      </w:r>
      <w:r>
        <w:rPr>
          <w:rFonts w:hint="eastAsia" w:ascii="宋体" w:hAnsi="宋体"/>
          <w:color w:val="FF0000"/>
          <w:sz w:val="24"/>
          <w:highlight w:val="yellow"/>
          <w:lang w:val="zh-CN"/>
        </w:rPr>
        <w:t>由乙方提供有效的增值税专用发票，</w:t>
      </w:r>
      <w:r>
        <w:rPr>
          <w:rFonts w:hint="eastAsia" w:ascii="宋体" w:hAnsi="宋体"/>
          <w:color w:val="auto"/>
          <w:sz w:val="24"/>
          <w:highlight w:val="none"/>
          <w:lang w:val="zh-CN"/>
        </w:rPr>
        <w:t>因特殊原因不能提供增值税专用发票，经甲方确认同意，可提供增值税普通发票</w:t>
      </w:r>
      <w:r>
        <w:rPr>
          <w:rFonts w:hint="eastAsia" w:ascii="宋体" w:hAnsi="宋体"/>
          <w:color w:val="auto"/>
          <w:sz w:val="24"/>
          <w:highlight w:val="none"/>
        </w:rPr>
        <w:t>。</w:t>
      </w:r>
    </w:p>
    <w:p>
      <w:pPr>
        <w:spacing w:line="440" w:lineRule="exact"/>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440" w:lineRule="exact"/>
        <w:ind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p>
    <w:p>
      <w:pPr>
        <w:spacing w:line="440" w:lineRule="exact"/>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户名：</w:t>
      </w:r>
    </w:p>
    <w:p>
      <w:pPr>
        <w:spacing w:line="440" w:lineRule="exact"/>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p>
      <w:pPr>
        <w:pStyle w:val="15"/>
        <w:tabs>
          <w:tab w:val="right" w:pos="8312"/>
        </w:tabs>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p>
    <w:p>
      <w:pPr>
        <w:pStyle w:val="9"/>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9"/>
        <w:widowControl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日以上的，应承担合同付款责任。</w:t>
      </w:r>
    </w:p>
    <w:p>
      <w:pPr>
        <w:pStyle w:val="9"/>
        <w:widowControl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9"/>
        <w:snapToGrid w:val="0"/>
        <w:spacing w:line="440" w:lineRule="exact"/>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9"/>
        <w:snapToGrid w:val="0"/>
        <w:spacing w:line="440"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9"/>
        <w:snapToGrid w:val="0"/>
        <w:spacing w:line="440"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p>
    <w:p>
      <w:pPr>
        <w:pStyle w:val="9"/>
        <w:snapToGrid w:val="0"/>
        <w:spacing w:line="440"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9"/>
        <w:snapToGrid w:val="0"/>
        <w:spacing w:line="440" w:lineRule="exact"/>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4"/>
        <w:snapToGrid w:val="0"/>
        <w:spacing w:line="440" w:lineRule="exact"/>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440" w:lineRule="exact"/>
        <w:ind w:firstLine="482" w:firstLineChars="200"/>
        <w:rPr>
          <w:rFonts w:hAnsi="宋体"/>
          <w:b/>
          <w:color w:val="000000"/>
          <w:sz w:val="24"/>
        </w:rPr>
      </w:pPr>
      <w:r>
        <w:rPr>
          <w:rFonts w:hint="eastAsia" w:hAnsi="宋体"/>
          <w:b/>
          <w:color w:val="000000"/>
          <w:sz w:val="24"/>
        </w:rPr>
        <w:t>十一、合同的生效</w:t>
      </w:r>
    </w:p>
    <w:p>
      <w:pPr>
        <w:pStyle w:val="9"/>
        <w:snapToGrid w:val="0"/>
        <w:spacing w:line="440" w:lineRule="exact"/>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5"/>
        <w:spacing w:before="0" w:beforeAutospacing="0" w:after="0" w:afterAutospacing="0" w:line="440" w:lineRule="exact"/>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440" w:lineRule="exact"/>
        <w:rPr>
          <w:rFonts w:ascii="宋体"/>
          <w:color w:val="000000"/>
          <w:sz w:val="24"/>
          <w:szCs w:val="22"/>
        </w:rPr>
      </w:pPr>
      <w:r>
        <w:rPr>
          <w:rFonts w:hint="eastAsia" w:ascii="宋体" w:hAnsi="宋体"/>
          <w:color w:val="000000"/>
          <w:sz w:val="24"/>
          <w:szCs w:val="22"/>
        </w:rPr>
        <w:t>　　甲方单位名称（公章）：　　          乙方单位名称（公章）：</w:t>
      </w:r>
    </w:p>
    <w:p>
      <w:pPr>
        <w:spacing w:line="440" w:lineRule="exact"/>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440" w:lineRule="exact"/>
        <w:ind w:firstLine="480" w:firstLineChars="200"/>
        <w:jc w:val="right"/>
        <w:rPr>
          <w:rFonts w:ascii="宋体" w:hAnsi="宋体"/>
          <w:color w:val="000000"/>
          <w:sz w:val="24"/>
        </w:rPr>
      </w:pPr>
    </w:p>
    <w:p>
      <w:pPr>
        <w:spacing w:line="440" w:lineRule="exact"/>
        <w:ind w:firstLine="480" w:firstLineChars="200"/>
        <w:jc w:val="right"/>
        <w:rPr>
          <w:rFonts w:ascii="宋体"/>
          <w:color w:val="000000"/>
          <w:sz w:val="24"/>
        </w:rPr>
      </w:pPr>
      <w:r>
        <w:rPr>
          <w:rFonts w:hint="eastAsia" w:ascii="宋体" w:hAnsi="宋体"/>
          <w:color w:val="000000"/>
          <w:sz w:val="24"/>
        </w:rPr>
        <w:t>合同签订日期：　年　月　日</w:t>
      </w:r>
    </w:p>
    <w:p>
      <w:pPr>
        <w:spacing w:line="440" w:lineRule="exact"/>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both"/>
        <w:outlineLvl w:val="0"/>
        <w:rPr>
          <w:rFonts w:hint="eastAsia" w:eastAsia="宋体"/>
          <w:b/>
          <w:color w:val="000000"/>
          <w:sz w:val="28"/>
          <w:szCs w:val="28"/>
          <w:lang w:eastAsia="zh-CN"/>
        </w:rPr>
      </w:pPr>
      <w:r>
        <w:rPr>
          <w:rFonts w:hint="eastAsia"/>
          <w:b/>
          <w:color w:val="000000"/>
          <w:sz w:val="28"/>
          <w:szCs w:val="28"/>
          <w:lang w:eastAsia="zh-CN"/>
        </w:rPr>
        <w:t>附件一：技术参数</w:t>
      </w: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r>
        <w:rPr>
          <w:b/>
          <w:color w:val="000000"/>
          <w:sz w:val="32"/>
        </w:rPr>
        <w:t>第五章</w:t>
      </w:r>
      <w:r>
        <w:rPr>
          <w:rFonts w:hint="eastAsia"/>
          <w:b/>
          <w:color w:val="000000"/>
          <w:sz w:val="32"/>
        </w:rPr>
        <w:t xml:space="preserve">  </w:t>
      </w:r>
      <w:r>
        <w:rPr>
          <w:b/>
          <w:color w:val="000000"/>
          <w:sz w:val="32"/>
        </w:rPr>
        <w:t>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12" w:name="_Hlk41297247"/>
      <w:r>
        <w:rPr>
          <w:color w:val="000000"/>
          <w:sz w:val="24"/>
        </w:rPr>
        <w:t>，投标人应派代表参加询标</w:t>
      </w:r>
      <w:bookmarkEnd w:id="12"/>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5"/>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numPr>
          <w:ilvl w:val="0"/>
          <w:numId w:val="2"/>
        </w:numPr>
        <w:spacing w:line="360" w:lineRule="auto"/>
        <w:ind w:firstLine="482" w:firstLineChars="200"/>
        <w:rPr>
          <w:b/>
          <w:color w:val="000000"/>
          <w:sz w:val="24"/>
        </w:rPr>
      </w:pPr>
      <w:r>
        <w:rPr>
          <w:b/>
          <w:color w:val="000000"/>
          <w:sz w:val="24"/>
        </w:rPr>
        <w:t>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报价</w:t>
            </w:r>
          </w:p>
          <w:p>
            <w:pPr>
              <w:widowControl/>
              <w:spacing w:line="360" w:lineRule="auto"/>
              <w:jc w:val="center"/>
              <w:rPr>
                <w:rFonts w:ascii="宋体" w:hAnsi="宋体" w:cs="宋体"/>
                <w:color w:val="auto"/>
                <w:szCs w:val="21"/>
              </w:rPr>
            </w:pPr>
            <w:r>
              <w:rPr>
                <w:rFonts w:hint="eastAsia" w:ascii="宋体" w:hAnsi="宋体" w:cs="宋体"/>
                <w:color w:val="auto"/>
                <w:szCs w:val="21"/>
              </w:rPr>
              <w:t>得分</w:t>
            </w:r>
          </w:p>
          <w:p>
            <w:pPr>
              <w:widowControl/>
              <w:spacing w:line="360" w:lineRule="auto"/>
              <w:jc w:val="center"/>
              <w:rPr>
                <w:rFonts w:ascii="宋体" w:hAnsi="宋体" w:cs="宋体"/>
                <w:color w:val="auto"/>
                <w:szCs w:val="21"/>
              </w:rPr>
            </w:pPr>
            <w:r>
              <w:rPr>
                <w:rFonts w:hint="eastAsia" w:ascii="宋体" w:hAnsi="宋体" w:cs="宋体"/>
                <w:color w:val="auto"/>
                <w:szCs w:val="21"/>
              </w:rPr>
              <w:t>30分</w:t>
            </w:r>
          </w:p>
        </w:tc>
        <w:tc>
          <w:tcPr>
            <w:tcW w:w="1276"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报  价</w:t>
            </w:r>
          </w:p>
        </w:tc>
        <w:tc>
          <w:tcPr>
            <w:tcW w:w="6048" w:type="dxa"/>
            <w:vAlign w:val="center"/>
          </w:tcPr>
          <w:p>
            <w:pPr>
              <w:spacing w:line="360" w:lineRule="auto"/>
              <w:jc w:val="left"/>
              <w:rPr>
                <w:rFonts w:ascii="宋体" w:hAnsi="宋体" w:cs="宋体"/>
                <w:color w:val="auto"/>
                <w:szCs w:val="21"/>
              </w:rPr>
            </w:pPr>
            <w:r>
              <w:rPr>
                <w:rFonts w:hint="eastAsia" w:ascii="宋体" w:hAnsi="宋体" w:cs="宋体"/>
                <w:b/>
                <w:bCs/>
                <w:color w:val="auto"/>
                <w:szCs w:val="21"/>
              </w:rPr>
              <w:t>本次采购项目预算：312万元。</w:t>
            </w:r>
            <w:r>
              <w:rPr>
                <w:rFonts w:hint="eastAsia" w:ascii="宋体" w:hAnsi="宋体" w:cs="宋体"/>
                <w:color w:val="auto"/>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商务</w:t>
            </w:r>
          </w:p>
          <w:p>
            <w:pPr>
              <w:widowControl/>
              <w:spacing w:line="360" w:lineRule="auto"/>
              <w:jc w:val="center"/>
              <w:rPr>
                <w:rFonts w:ascii="宋体" w:hAnsi="宋体" w:cs="宋体"/>
                <w:color w:val="auto"/>
                <w:szCs w:val="21"/>
              </w:rPr>
            </w:pPr>
            <w:r>
              <w:rPr>
                <w:rFonts w:hint="eastAsia" w:ascii="宋体" w:hAnsi="宋体" w:cs="宋体"/>
                <w:color w:val="auto"/>
                <w:szCs w:val="21"/>
              </w:rPr>
              <w:t>技术</w:t>
            </w:r>
          </w:p>
          <w:p>
            <w:pPr>
              <w:widowControl/>
              <w:spacing w:line="360" w:lineRule="auto"/>
              <w:jc w:val="center"/>
              <w:rPr>
                <w:rFonts w:ascii="宋体" w:hAnsi="宋体" w:cs="宋体"/>
                <w:color w:val="auto"/>
                <w:szCs w:val="21"/>
              </w:rPr>
            </w:pPr>
            <w:r>
              <w:rPr>
                <w:rFonts w:hint="eastAsia" w:ascii="宋体" w:hAnsi="宋体" w:cs="宋体"/>
                <w:color w:val="auto"/>
                <w:szCs w:val="21"/>
              </w:rPr>
              <w:t>得分</w:t>
            </w:r>
          </w:p>
          <w:p>
            <w:pPr>
              <w:widowControl/>
              <w:spacing w:line="360" w:lineRule="auto"/>
              <w:jc w:val="center"/>
              <w:rPr>
                <w:rFonts w:ascii="宋体" w:hAnsi="宋体" w:cs="宋体"/>
                <w:color w:val="auto"/>
                <w:szCs w:val="21"/>
              </w:rPr>
            </w:pPr>
            <w:r>
              <w:rPr>
                <w:rFonts w:hint="eastAsia" w:ascii="宋体" w:hAnsi="宋体" w:cs="宋体"/>
                <w:color w:val="auto"/>
                <w:szCs w:val="21"/>
              </w:rPr>
              <w:t>70分</w:t>
            </w:r>
          </w:p>
          <w:p>
            <w:pPr>
              <w:widowControl/>
              <w:spacing w:line="360" w:lineRule="auto"/>
              <w:jc w:val="center"/>
              <w:rPr>
                <w:rFonts w:ascii="宋体" w:hAnsi="宋体" w:cs="宋体"/>
                <w:color w:val="auto"/>
                <w:szCs w:val="21"/>
              </w:rPr>
            </w:pPr>
          </w:p>
        </w:tc>
        <w:tc>
          <w:tcPr>
            <w:tcW w:w="127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技术参数</w:t>
            </w:r>
          </w:p>
        </w:tc>
        <w:tc>
          <w:tcPr>
            <w:tcW w:w="6048" w:type="dxa"/>
            <w:vAlign w:val="center"/>
          </w:tcPr>
          <w:p>
            <w:pPr>
              <w:spacing w:line="360" w:lineRule="auto"/>
              <w:jc w:val="left"/>
              <w:rPr>
                <w:rFonts w:ascii="宋体" w:hAnsi="宋体" w:cs="宋体"/>
                <w:color w:val="auto"/>
                <w:szCs w:val="21"/>
              </w:rPr>
            </w:pPr>
            <w:r>
              <w:rPr>
                <w:rFonts w:hint="eastAsia" w:ascii="宋体" w:hAnsi="宋体" w:cs="宋体"/>
                <w:color w:val="auto"/>
                <w:szCs w:val="21"/>
              </w:rPr>
              <w:t>符合明确指标参数得12分。打▲号指标为实质性要求，如有负偏离将作为无效投标；非打▲号指标有负偏离的每项扣2分，技术指标属正偏离或高配的且评委认为有意义的，每项加1分；本项最多得</w:t>
            </w:r>
            <w:r>
              <w:rPr>
                <w:rFonts w:hint="eastAsia" w:ascii="宋体" w:hAnsi="宋体" w:cs="宋体"/>
                <w:color w:val="auto"/>
                <w:szCs w:val="21"/>
                <w:lang w:val="en-US" w:eastAsia="zh-CN"/>
              </w:rPr>
              <w:t>20</w:t>
            </w:r>
            <w:r>
              <w:rPr>
                <w:rFonts w:hint="eastAsia" w:ascii="宋体" w:hAnsi="宋体" w:cs="宋体"/>
                <w:color w:val="auto"/>
                <w:szCs w:val="21"/>
              </w:rPr>
              <w:t>分。（0-20分）</w:t>
            </w:r>
          </w:p>
        </w:tc>
        <w:tc>
          <w:tcPr>
            <w:tcW w:w="863" w:type="dxa"/>
            <w:vAlign w:val="center"/>
          </w:tcPr>
          <w:p>
            <w:pPr>
              <w:spacing w:line="360" w:lineRule="auto"/>
              <w:jc w:val="center"/>
              <w:rPr>
                <w:rFonts w:ascii="宋体" w:hAnsi="宋体" w:cs="宋体"/>
                <w:color w:val="auto"/>
                <w:szCs w:val="21"/>
              </w:rPr>
            </w:pPr>
            <w:r>
              <w:rPr>
                <w:rFonts w:hint="eastAsia" w:ascii="宋体" w:hAnsi="宋体" w:cs="宋体"/>
                <w:color w:val="auto"/>
                <w:szCs w:val="21"/>
                <w:lang w:val="en-US" w:eastAsia="zh-CN"/>
              </w:rPr>
              <w:t>20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3" w:hRule="atLeast"/>
          <w:jc w:val="center"/>
        </w:trPr>
        <w:tc>
          <w:tcPr>
            <w:tcW w:w="993" w:type="dxa"/>
            <w:vMerge w:val="continue"/>
            <w:vAlign w:val="center"/>
          </w:tcPr>
          <w:p>
            <w:pPr>
              <w:widowControl/>
              <w:spacing w:line="360" w:lineRule="auto"/>
              <w:jc w:val="center"/>
              <w:rPr>
                <w:rFonts w:ascii="宋体" w:hAnsi="宋体" w:cs="宋体"/>
                <w:color w:val="auto"/>
                <w:szCs w:val="21"/>
              </w:rPr>
            </w:pPr>
          </w:p>
        </w:tc>
        <w:tc>
          <w:tcPr>
            <w:tcW w:w="1276" w:type="dxa"/>
            <w:vAlign w:val="center"/>
          </w:tcPr>
          <w:p>
            <w:pPr>
              <w:pStyle w:val="44"/>
              <w:spacing w:line="300" w:lineRule="auto"/>
              <w:rPr>
                <w:rFonts w:ascii="宋体" w:hAnsi="宋体" w:cs="宋体"/>
                <w:color w:val="auto"/>
                <w:szCs w:val="21"/>
              </w:rPr>
            </w:pPr>
            <w:r>
              <w:rPr>
                <w:rFonts w:hint="eastAsia"/>
                <w:color w:val="auto"/>
                <w:szCs w:val="21"/>
              </w:rPr>
              <w:t>履约</w:t>
            </w:r>
            <w:r>
              <w:rPr>
                <w:color w:val="auto"/>
                <w:szCs w:val="21"/>
              </w:rPr>
              <w:t>能力</w:t>
            </w:r>
          </w:p>
        </w:tc>
        <w:tc>
          <w:tcPr>
            <w:tcW w:w="6048" w:type="dxa"/>
            <w:vAlign w:val="center"/>
          </w:tcPr>
          <w:p>
            <w:pPr>
              <w:pStyle w:val="44"/>
              <w:numPr>
                <w:numId w:val="0"/>
              </w:numPr>
              <w:spacing w:line="300" w:lineRule="auto"/>
              <w:rPr>
                <w:rFonts w:ascii="宋体" w:hAnsi="宋体" w:cs="宋体"/>
                <w:color w:val="auto"/>
                <w:szCs w:val="21"/>
              </w:rPr>
            </w:pPr>
            <w:r>
              <w:rPr>
                <w:rFonts w:hint="eastAsia"/>
                <w:color w:val="auto"/>
                <w:szCs w:val="21"/>
                <w:lang w:val="en-US" w:eastAsia="zh-CN"/>
              </w:rPr>
              <w:t>1.</w:t>
            </w:r>
            <w:r>
              <w:rPr>
                <w:color w:val="auto"/>
                <w:szCs w:val="21"/>
              </w:rPr>
              <w:t>投标人具</w:t>
            </w:r>
            <w:r>
              <w:rPr>
                <w:rFonts w:hint="eastAsia"/>
                <w:color w:val="auto"/>
                <w:szCs w:val="21"/>
              </w:rPr>
              <w:t>备</w:t>
            </w:r>
            <w:r>
              <w:rPr>
                <w:color w:val="auto"/>
                <w:szCs w:val="21"/>
              </w:rPr>
              <w:t>有效的ISO9001质量管理体系认证证书有效的得</w:t>
            </w:r>
            <w:r>
              <w:rPr>
                <w:rFonts w:hint="eastAsia"/>
                <w:color w:val="auto"/>
                <w:szCs w:val="21"/>
                <w:lang w:val="en-US" w:eastAsia="zh-CN"/>
              </w:rPr>
              <w:t>1</w:t>
            </w:r>
            <w:r>
              <w:rPr>
                <w:color w:val="auto"/>
                <w:szCs w:val="21"/>
              </w:rPr>
              <w:t>分；</w:t>
            </w:r>
            <w:r>
              <w:rPr>
                <w:rFonts w:hint="eastAsia"/>
                <w:color w:val="auto"/>
                <w:szCs w:val="21"/>
                <w:lang w:val="en-US" w:eastAsia="zh-CN"/>
              </w:rPr>
              <w:t>2.</w:t>
            </w:r>
            <w:r>
              <w:rPr>
                <w:color w:val="auto"/>
                <w:szCs w:val="21"/>
              </w:rPr>
              <w:t>投标人具</w:t>
            </w:r>
            <w:r>
              <w:rPr>
                <w:rFonts w:hint="eastAsia"/>
                <w:color w:val="auto"/>
                <w:szCs w:val="21"/>
              </w:rPr>
              <w:t>备</w:t>
            </w:r>
            <w:r>
              <w:rPr>
                <w:color w:val="auto"/>
                <w:szCs w:val="21"/>
              </w:rPr>
              <w:t>有效的ISO14001环境管理体系认证证书</w:t>
            </w:r>
            <w:r>
              <w:rPr>
                <w:rFonts w:hint="eastAsia"/>
                <w:color w:val="auto"/>
                <w:szCs w:val="21"/>
              </w:rPr>
              <w:t>的</w:t>
            </w:r>
            <w:r>
              <w:rPr>
                <w:color w:val="auto"/>
                <w:szCs w:val="21"/>
              </w:rPr>
              <w:t>得</w:t>
            </w:r>
            <w:r>
              <w:rPr>
                <w:rFonts w:hint="eastAsia"/>
                <w:color w:val="auto"/>
                <w:szCs w:val="21"/>
                <w:lang w:val="en-US" w:eastAsia="zh-CN"/>
              </w:rPr>
              <w:t>1</w:t>
            </w:r>
            <w:r>
              <w:rPr>
                <w:color w:val="auto"/>
                <w:szCs w:val="21"/>
              </w:rPr>
              <w:t>分</w:t>
            </w:r>
            <w:r>
              <w:rPr>
                <w:rFonts w:hint="eastAsia"/>
                <w:color w:val="auto"/>
                <w:szCs w:val="21"/>
              </w:rPr>
              <w:t>。</w:t>
            </w:r>
            <w:r>
              <w:rPr>
                <w:rFonts w:hint="eastAsia"/>
                <w:color w:val="auto"/>
                <w:szCs w:val="21"/>
                <w:lang w:eastAsia="zh-CN"/>
              </w:rPr>
              <w:t>（</w:t>
            </w:r>
            <w:r>
              <w:rPr>
                <w:rFonts w:hint="eastAsia"/>
                <w:color w:val="auto"/>
                <w:szCs w:val="21"/>
                <w:lang w:val="en-US" w:eastAsia="zh-CN"/>
              </w:rPr>
              <w:t>0-2分</w:t>
            </w:r>
            <w:r>
              <w:rPr>
                <w:rFonts w:hint="eastAsia"/>
                <w:color w:val="auto"/>
                <w:szCs w:val="21"/>
                <w:lang w:eastAsia="zh-CN"/>
              </w:rPr>
              <w:t>）</w:t>
            </w:r>
          </w:p>
        </w:tc>
        <w:tc>
          <w:tcPr>
            <w:tcW w:w="863" w:type="dxa"/>
            <w:vAlign w:val="center"/>
          </w:tcPr>
          <w:p>
            <w:pPr>
              <w:spacing w:line="300" w:lineRule="auto"/>
              <w:jc w:val="center"/>
              <w:rPr>
                <w:rFonts w:ascii="宋体" w:hAnsi="宋体" w:cs="宋体"/>
                <w:color w:val="auto"/>
                <w:szCs w:val="21"/>
              </w:rPr>
            </w:pPr>
            <w:r>
              <w:rPr>
                <w:rFonts w:hint="eastAsia"/>
                <w:color w:val="auto"/>
                <w:szCs w:val="21"/>
                <w:lang w:val="en-US" w:eastAsia="zh-CN"/>
              </w:rPr>
              <w:t>2</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jc w:val="center"/>
        </w:trPr>
        <w:tc>
          <w:tcPr>
            <w:tcW w:w="993" w:type="dxa"/>
            <w:vMerge w:val="continue"/>
            <w:vAlign w:val="center"/>
          </w:tcPr>
          <w:p>
            <w:pPr>
              <w:widowControl/>
              <w:spacing w:line="360" w:lineRule="auto"/>
              <w:jc w:val="distribute"/>
              <w:rPr>
                <w:rFonts w:ascii="宋体" w:hAnsi="宋体" w:cs="宋体"/>
                <w:color w:val="auto"/>
                <w:szCs w:val="21"/>
              </w:rPr>
            </w:pPr>
          </w:p>
        </w:tc>
        <w:tc>
          <w:tcPr>
            <w:tcW w:w="1276" w:type="dxa"/>
            <w:vMerge w:val="restart"/>
            <w:vAlign w:val="center"/>
          </w:tcPr>
          <w:p>
            <w:pPr>
              <w:widowControl/>
              <w:spacing w:line="360" w:lineRule="auto"/>
              <w:jc w:val="center"/>
              <w:rPr>
                <w:rFonts w:hint="default" w:ascii="宋体" w:hAnsi="宋体" w:eastAsia="宋体" w:cs="宋体"/>
                <w:color w:val="auto"/>
                <w:szCs w:val="21"/>
                <w:lang w:val="en-US" w:eastAsia="zh-CN"/>
              </w:rPr>
            </w:pPr>
            <w:r>
              <w:rPr>
                <w:rFonts w:hint="eastAsia" w:ascii="宋体" w:hAnsi="宋体" w:cs="宋体"/>
                <w:color w:val="auto"/>
                <w:szCs w:val="21"/>
              </w:rPr>
              <w:t>施工方案</w:t>
            </w:r>
            <w:r>
              <w:rPr>
                <w:rFonts w:hint="eastAsia" w:ascii="宋体" w:hAnsi="宋体" w:cs="宋体"/>
                <w:color w:val="auto"/>
                <w:szCs w:val="21"/>
                <w:lang w:eastAsia="zh-CN"/>
              </w:rPr>
              <w:t>、</w:t>
            </w:r>
            <w:r>
              <w:rPr>
                <w:rFonts w:hint="eastAsia" w:ascii="宋体" w:hAnsi="宋体" w:cs="宋体"/>
                <w:color w:val="auto"/>
                <w:szCs w:val="21"/>
              </w:rPr>
              <w:t>施工图纸（</w:t>
            </w:r>
            <w:r>
              <w:rPr>
                <w:rFonts w:hint="eastAsia"/>
                <w:color w:val="auto"/>
                <w:kern w:val="0"/>
                <w:szCs w:val="21"/>
              </w:rPr>
              <w:t>总体布置效果图</w:t>
            </w:r>
            <w:r>
              <w:rPr>
                <w:rFonts w:hint="eastAsia"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lang w:val="en-US" w:eastAsia="zh-CN"/>
              </w:rPr>
              <w:t>人员投入</w:t>
            </w:r>
          </w:p>
        </w:tc>
        <w:tc>
          <w:tcPr>
            <w:tcW w:w="6048" w:type="dxa"/>
            <w:vAlign w:val="center"/>
          </w:tcPr>
          <w:p>
            <w:pPr>
              <w:spacing w:line="360" w:lineRule="auto"/>
              <w:jc w:val="left"/>
              <w:rPr>
                <w:rFonts w:ascii="宋体" w:hAnsi="宋体" w:cs="宋体"/>
                <w:color w:val="auto"/>
                <w:szCs w:val="21"/>
              </w:rPr>
            </w:pPr>
            <w:r>
              <w:rPr>
                <w:rFonts w:hint="eastAsia" w:ascii="宋体" w:hAnsi="宋体" w:cs="宋体"/>
                <w:color w:val="auto"/>
                <w:szCs w:val="21"/>
              </w:rPr>
              <w:t>工艺技术及施工方案完整性（0-2分）、合理性（0-2分）、可操作性（0-2分）。（0-6分）</w:t>
            </w:r>
          </w:p>
        </w:tc>
        <w:tc>
          <w:tcPr>
            <w:tcW w:w="86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auto"/>
                <w:szCs w:val="21"/>
              </w:rPr>
            </w:pPr>
          </w:p>
        </w:tc>
        <w:tc>
          <w:tcPr>
            <w:tcW w:w="1276" w:type="dxa"/>
            <w:vMerge w:val="continue"/>
            <w:vAlign w:val="center"/>
          </w:tcPr>
          <w:p>
            <w:pPr>
              <w:widowControl/>
              <w:spacing w:line="360" w:lineRule="auto"/>
              <w:jc w:val="left"/>
              <w:rPr>
                <w:rFonts w:ascii="宋体" w:hAnsi="宋体" w:cs="宋体"/>
                <w:color w:val="auto"/>
                <w:szCs w:val="21"/>
              </w:rPr>
            </w:pPr>
          </w:p>
        </w:tc>
        <w:tc>
          <w:tcPr>
            <w:tcW w:w="6048" w:type="dxa"/>
            <w:vAlign w:val="center"/>
          </w:tcPr>
          <w:p>
            <w:pPr>
              <w:spacing w:line="360" w:lineRule="auto"/>
              <w:jc w:val="left"/>
              <w:rPr>
                <w:rFonts w:ascii="宋体" w:hAnsi="宋体" w:cs="宋体"/>
                <w:color w:val="auto"/>
                <w:szCs w:val="21"/>
              </w:rPr>
            </w:pPr>
            <w:r>
              <w:rPr>
                <w:rFonts w:hint="eastAsia" w:ascii="宋体" w:hAnsi="宋体" w:cs="宋体"/>
                <w:color w:val="auto"/>
                <w:szCs w:val="21"/>
              </w:rPr>
              <w:t>工艺施工图纸完整性</w:t>
            </w:r>
            <w:r>
              <w:rPr>
                <w:rFonts w:hint="eastAsia" w:ascii="宋体" w:hAnsi="宋体" w:cs="宋体"/>
                <w:color w:val="auto"/>
                <w:szCs w:val="21"/>
                <w:highlight w:val="none"/>
              </w:rPr>
              <w:t>（</w:t>
            </w:r>
            <w:r>
              <w:rPr>
                <w:rFonts w:hint="eastAsia"/>
                <w:color w:val="auto"/>
                <w:kern w:val="0"/>
                <w:szCs w:val="21"/>
                <w:highlight w:val="none"/>
              </w:rPr>
              <w:t>总体布置效果图</w:t>
            </w:r>
            <w:r>
              <w:rPr>
                <w:rFonts w:hint="eastAsia" w:ascii="宋体" w:hAnsi="宋体" w:cs="宋体"/>
                <w:color w:val="auto"/>
                <w:szCs w:val="21"/>
                <w:highlight w:val="none"/>
              </w:rPr>
              <w:t>）（0-2分）、详细程度（0-2分）、合理美观（0-2分</w:t>
            </w:r>
            <w:r>
              <w:rPr>
                <w:rFonts w:hint="eastAsia" w:ascii="宋体" w:hAnsi="宋体" w:cs="宋体"/>
                <w:color w:val="auto"/>
                <w:szCs w:val="21"/>
              </w:rPr>
              <w:t>）。（0-6分）</w:t>
            </w:r>
          </w:p>
        </w:tc>
        <w:tc>
          <w:tcPr>
            <w:tcW w:w="863"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auto"/>
                <w:szCs w:val="21"/>
              </w:rPr>
            </w:pPr>
          </w:p>
        </w:tc>
        <w:tc>
          <w:tcPr>
            <w:tcW w:w="1276" w:type="dxa"/>
            <w:vMerge w:val="continue"/>
            <w:vAlign w:val="center"/>
          </w:tcPr>
          <w:p>
            <w:pPr>
              <w:widowControl/>
              <w:spacing w:line="360" w:lineRule="auto"/>
              <w:jc w:val="left"/>
              <w:rPr>
                <w:rFonts w:ascii="宋体" w:hAnsi="宋体" w:cs="宋体"/>
                <w:color w:val="auto"/>
                <w:szCs w:val="21"/>
              </w:rPr>
            </w:pPr>
          </w:p>
        </w:tc>
        <w:tc>
          <w:tcPr>
            <w:tcW w:w="6048" w:type="dxa"/>
            <w:vAlign w:val="center"/>
          </w:tcPr>
          <w:p>
            <w:pPr>
              <w:spacing w:line="360" w:lineRule="auto"/>
              <w:jc w:val="left"/>
              <w:rPr>
                <w:rFonts w:hint="default" w:ascii="宋体" w:hAnsi="宋体" w:eastAsia="宋体" w:cs="宋体"/>
                <w:color w:val="auto"/>
                <w:szCs w:val="21"/>
                <w:lang w:val="en-US" w:eastAsia="zh-CN"/>
              </w:rPr>
            </w:pPr>
            <w:r>
              <w:rPr>
                <w:rFonts w:hint="eastAsia" w:ascii="宋体" w:hAnsi="宋体" w:cs="宋体"/>
                <w:color w:val="auto"/>
                <w:szCs w:val="21"/>
              </w:rPr>
              <w:t>根据拟投入本项目人员情况（技术力量）进行综合评分</w:t>
            </w:r>
            <w:r>
              <w:rPr>
                <w:rFonts w:hint="eastAsia" w:ascii="宋体" w:hAnsi="宋体" w:cs="宋体"/>
                <w:color w:val="auto"/>
                <w:szCs w:val="21"/>
                <w:lang w:eastAsia="zh-CN"/>
              </w:rPr>
              <w:t>，</w:t>
            </w:r>
            <w:r>
              <w:rPr>
                <w:rFonts w:hint="eastAsia" w:ascii="宋体" w:hAnsi="宋体" w:cs="宋体"/>
                <w:color w:val="auto"/>
                <w:szCs w:val="21"/>
                <w:lang w:val="en-US" w:eastAsia="zh-CN"/>
              </w:rPr>
              <w:t>项目人员要求提供投标人为其缴纳近三个月内的社保证明，无证明材料不得分。</w:t>
            </w:r>
            <w:r>
              <w:rPr>
                <w:rFonts w:hint="eastAsia" w:ascii="宋体" w:hAnsi="宋体" w:cs="宋体"/>
                <w:color w:val="auto"/>
                <w:szCs w:val="21"/>
              </w:rPr>
              <w:t>（0-</w:t>
            </w:r>
            <w:r>
              <w:rPr>
                <w:rFonts w:hint="eastAsia" w:ascii="宋体" w:hAnsi="宋体" w:cs="宋体"/>
                <w:color w:val="auto"/>
                <w:szCs w:val="21"/>
                <w:lang w:val="en-US" w:eastAsia="zh-CN"/>
              </w:rPr>
              <w:t>5</w:t>
            </w:r>
            <w:r>
              <w:rPr>
                <w:rFonts w:hint="eastAsia" w:ascii="宋体" w:hAnsi="宋体" w:cs="宋体"/>
                <w:color w:val="auto"/>
                <w:szCs w:val="21"/>
              </w:rPr>
              <w:t>分）</w:t>
            </w:r>
          </w:p>
        </w:tc>
        <w:tc>
          <w:tcPr>
            <w:tcW w:w="863" w:type="dxa"/>
            <w:vAlign w:val="center"/>
          </w:tcPr>
          <w:p>
            <w:pPr>
              <w:spacing w:line="360" w:lineRule="auto"/>
              <w:jc w:val="center"/>
              <w:rPr>
                <w:rFonts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auto"/>
                <w:szCs w:val="21"/>
              </w:rPr>
            </w:pPr>
          </w:p>
        </w:tc>
        <w:tc>
          <w:tcPr>
            <w:tcW w:w="1276" w:type="dxa"/>
            <w:vAlign w:val="center"/>
          </w:tcPr>
          <w:p>
            <w:pPr>
              <w:spacing w:line="360" w:lineRule="auto"/>
              <w:jc w:val="left"/>
              <w:rPr>
                <w:rFonts w:ascii="宋体" w:hAnsi="宋体" w:cs="宋体"/>
                <w:color w:val="auto"/>
                <w:szCs w:val="21"/>
              </w:rPr>
            </w:pPr>
            <w:r>
              <w:rPr>
                <w:rFonts w:hint="eastAsia" w:ascii="宋体" w:hAnsi="宋体" w:cs="宋体"/>
                <w:color w:val="auto"/>
                <w:szCs w:val="21"/>
              </w:rPr>
              <w:t>同类项目</w:t>
            </w:r>
          </w:p>
          <w:p>
            <w:pPr>
              <w:spacing w:line="360" w:lineRule="auto"/>
              <w:jc w:val="left"/>
              <w:rPr>
                <w:rFonts w:ascii="宋体" w:hAnsi="宋体" w:cs="宋体"/>
                <w:color w:val="auto"/>
                <w:szCs w:val="21"/>
              </w:rPr>
            </w:pPr>
            <w:r>
              <w:rPr>
                <w:rFonts w:hint="eastAsia" w:ascii="宋体" w:hAnsi="宋体" w:cs="宋体"/>
                <w:color w:val="auto"/>
                <w:szCs w:val="21"/>
              </w:rPr>
              <w:t>实施经验</w:t>
            </w:r>
          </w:p>
        </w:tc>
        <w:tc>
          <w:tcPr>
            <w:tcW w:w="6048" w:type="dxa"/>
            <w:vAlign w:val="center"/>
          </w:tcPr>
          <w:p>
            <w:pPr>
              <w:spacing w:line="360" w:lineRule="auto"/>
              <w:jc w:val="left"/>
              <w:rPr>
                <w:rFonts w:ascii="宋体" w:hAnsi="宋体" w:cs="宋体"/>
                <w:color w:val="auto"/>
                <w:szCs w:val="21"/>
              </w:rPr>
            </w:pPr>
            <w:r>
              <w:rPr>
                <w:rFonts w:hint="eastAsia" w:ascii="宋体" w:hAnsi="宋体" w:cs="宋体"/>
                <w:color w:val="auto"/>
                <w:szCs w:val="21"/>
              </w:rPr>
              <w:t>投标人自2020年1月1日以来至今（以合同签订时间为准）同类项目</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学校化工实验室</w:t>
            </w:r>
            <w:r>
              <w:rPr>
                <w:rFonts w:hint="eastAsia" w:ascii="宋体" w:hAnsi="宋体" w:cs="宋体"/>
                <w:color w:val="auto"/>
                <w:szCs w:val="21"/>
                <w:highlight w:val="none"/>
              </w:rPr>
              <w:t>废水处理项目</w:t>
            </w:r>
            <w:r>
              <w:rPr>
                <w:rFonts w:hint="eastAsia" w:ascii="宋体" w:hAnsi="宋体" w:cs="宋体"/>
                <w:color w:val="auto"/>
                <w:szCs w:val="21"/>
              </w:rPr>
              <w:t>）成功实施案例：每提供一个有效合同原件的扫描件得1分，最高得</w:t>
            </w:r>
            <w:r>
              <w:rPr>
                <w:rFonts w:hint="eastAsia" w:ascii="宋体" w:hAnsi="宋体" w:cs="宋体"/>
                <w:color w:val="auto"/>
                <w:szCs w:val="21"/>
                <w:lang w:val="en-US" w:eastAsia="zh-CN"/>
              </w:rPr>
              <w:t>3</w:t>
            </w:r>
            <w:r>
              <w:rPr>
                <w:rFonts w:hint="eastAsia" w:ascii="宋体" w:hAnsi="宋体" w:cs="宋体"/>
                <w:color w:val="auto"/>
                <w:szCs w:val="21"/>
              </w:rPr>
              <w:t>分。</w:t>
            </w:r>
            <w:r>
              <w:rPr>
                <w:rFonts w:hint="eastAsia" w:ascii="宋体" w:hAnsi="宋体" w:cs="宋体"/>
                <w:color w:val="auto"/>
                <w:szCs w:val="21"/>
                <w:highlight w:val="none"/>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auto"/>
                <w:szCs w:val="21"/>
              </w:rPr>
              <w:t>（0-3分）</w:t>
            </w:r>
          </w:p>
        </w:tc>
        <w:tc>
          <w:tcPr>
            <w:tcW w:w="86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auto"/>
                <w:szCs w:val="21"/>
              </w:rPr>
            </w:pPr>
          </w:p>
        </w:tc>
        <w:tc>
          <w:tcPr>
            <w:tcW w:w="1276"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节能环保</w:t>
            </w:r>
          </w:p>
        </w:tc>
        <w:tc>
          <w:tcPr>
            <w:tcW w:w="6048" w:type="dxa"/>
            <w:vAlign w:val="center"/>
          </w:tcPr>
          <w:p>
            <w:pPr>
              <w:widowControl/>
              <w:spacing w:line="360" w:lineRule="auto"/>
              <w:jc w:val="left"/>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节能产品认证证书或者证书的查询网址及截图的，得1分。（0-2分）</w:t>
            </w:r>
          </w:p>
        </w:tc>
        <w:tc>
          <w:tcPr>
            <w:tcW w:w="863"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auto"/>
                <w:szCs w:val="21"/>
              </w:rPr>
            </w:pPr>
          </w:p>
        </w:tc>
        <w:tc>
          <w:tcPr>
            <w:tcW w:w="1276" w:type="dxa"/>
            <w:vAlign w:val="center"/>
          </w:tcPr>
          <w:p>
            <w:pPr>
              <w:widowControl/>
              <w:jc w:val="center"/>
              <w:rPr>
                <w:rFonts w:hint="eastAsia" w:eastAsia="宋体"/>
                <w:color w:val="auto"/>
                <w:lang w:val="en-US" w:eastAsia="zh-CN"/>
              </w:rPr>
            </w:pPr>
            <w:r>
              <w:rPr>
                <w:rFonts w:hint="eastAsia"/>
                <w:color w:val="auto"/>
              </w:rPr>
              <w:t>视频演示</w:t>
            </w:r>
          </w:p>
        </w:tc>
        <w:tc>
          <w:tcPr>
            <w:tcW w:w="6048" w:type="dxa"/>
            <w:vAlign w:val="center"/>
          </w:tcPr>
          <w:p>
            <w:pPr>
              <w:pStyle w:val="2"/>
              <w:spacing w:line="360" w:lineRule="auto"/>
              <w:ind w:left="0" w:leftChars="0" w:firstLine="0" w:firstLineChars="0"/>
              <w:rPr>
                <w:rFonts w:ascii="宋体" w:hAnsi="宋体" w:cs="宋体"/>
                <w:color w:val="auto"/>
                <w:sz w:val="21"/>
                <w:szCs w:val="21"/>
              </w:rPr>
            </w:pPr>
            <w:r>
              <w:rPr>
                <w:rFonts w:hint="eastAsia" w:ascii="宋体" w:hAnsi="宋体" w:cs="宋体"/>
                <w:color w:val="auto"/>
                <w:sz w:val="21"/>
                <w:szCs w:val="21"/>
              </w:rPr>
              <w:t>根据投标人提供的视频演示（视频时间15分钟以内，</w:t>
            </w:r>
            <w:r>
              <w:rPr>
                <w:rFonts w:hint="eastAsia" w:ascii="宋体" w:hAnsi="宋体" w:cs="宋体"/>
                <w:color w:val="auto"/>
                <w:sz w:val="21"/>
                <w:szCs w:val="21"/>
                <w:highlight w:val="none"/>
              </w:rPr>
              <w:t>视频演示项目</w:t>
            </w:r>
            <w:r>
              <w:rPr>
                <w:rFonts w:hint="eastAsia" w:ascii="宋体" w:hAnsi="宋体" w:cs="宋体"/>
                <w:color w:val="auto"/>
                <w:sz w:val="21"/>
                <w:szCs w:val="21"/>
                <w:highlight w:val="none"/>
                <w:lang w:val="en-US" w:eastAsia="zh-CN"/>
              </w:rPr>
              <w:t>须</w:t>
            </w:r>
            <w:r>
              <w:rPr>
                <w:rFonts w:hint="eastAsia" w:ascii="宋体" w:hAnsi="宋体" w:cs="宋体"/>
                <w:color w:val="auto"/>
                <w:sz w:val="21"/>
                <w:szCs w:val="21"/>
                <w:highlight w:val="none"/>
              </w:rPr>
              <w:t>由投标方自行设计并安装调试，演示项目</w:t>
            </w:r>
            <w:r>
              <w:rPr>
                <w:rFonts w:hint="eastAsia" w:ascii="宋体" w:hAnsi="宋体" w:cs="宋体"/>
                <w:color w:val="auto"/>
                <w:sz w:val="21"/>
                <w:szCs w:val="21"/>
                <w:highlight w:val="none"/>
                <w:lang w:eastAsia="zh-CN"/>
              </w:rPr>
              <w:t>建设单位</w:t>
            </w:r>
            <w:r>
              <w:rPr>
                <w:rFonts w:hint="eastAsia" w:ascii="宋体" w:hAnsi="宋体" w:cs="宋体"/>
                <w:color w:val="auto"/>
                <w:sz w:val="21"/>
                <w:szCs w:val="21"/>
                <w:highlight w:val="none"/>
              </w:rPr>
              <w:t>与提供业绩合同</w:t>
            </w:r>
            <w:r>
              <w:rPr>
                <w:rFonts w:hint="eastAsia" w:ascii="宋体" w:hAnsi="宋体" w:cs="宋体"/>
                <w:color w:val="auto"/>
                <w:sz w:val="21"/>
                <w:szCs w:val="21"/>
                <w:highlight w:val="none"/>
                <w:lang w:eastAsia="zh-CN"/>
              </w:rPr>
              <w:t>甲方</w:t>
            </w:r>
            <w:r>
              <w:rPr>
                <w:rFonts w:hint="eastAsia" w:ascii="宋体" w:hAnsi="宋体" w:cs="宋体"/>
                <w:color w:val="auto"/>
                <w:sz w:val="21"/>
                <w:szCs w:val="21"/>
                <w:highlight w:val="none"/>
                <w:lang w:val="en-US" w:eastAsia="zh-CN"/>
              </w:rPr>
              <w:t>单位</w:t>
            </w:r>
            <w:r>
              <w:rPr>
                <w:rFonts w:hint="eastAsia" w:ascii="宋体" w:hAnsi="宋体" w:cs="宋体"/>
                <w:color w:val="auto"/>
                <w:sz w:val="21"/>
                <w:szCs w:val="21"/>
                <w:highlight w:val="none"/>
              </w:rPr>
              <w:t>对应）</w:t>
            </w:r>
            <w:r>
              <w:rPr>
                <w:rFonts w:hint="eastAsia" w:ascii="宋体" w:hAnsi="宋体" w:cs="宋体"/>
                <w:color w:val="auto"/>
                <w:sz w:val="21"/>
                <w:szCs w:val="21"/>
              </w:rPr>
              <w:t>内容综合评分：</w:t>
            </w:r>
          </w:p>
          <w:p>
            <w:pPr>
              <w:pStyle w:val="2"/>
              <w:numPr>
                <w:numId w:val="0"/>
              </w:numPr>
              <w:spacing w:line="360" w:lineRule="auto"/>
              <w:ind w:leftChars="0"/>
              <w:rPr>
                <w:rFonts w:hint="eastAsia" w:ascii="宋体" w:hAnsi="宋体" w:cs="宋体"/>
                <w:color w:val="auto"/>
                <w:sz w:val="21"/>
                <w:szCs w:val="21"/>
              </w:rPr>
            </w:pPr>
            <w:r>
              <w:rPr>
                <w:rFonts w:hint="eastAsia" w:ascii="宋体" w:hAnsi="宋体" w:cs="宋体"/>
                <w:color w:val="auto"/>
                <w:sz w:val="21"/>
                <w:szCs w:val="21"/>
                <w:lang w:val="en-US" w:eastAsia="zh-CN"/>
              </w:rPr>
              <w:t>1.</w:t>
            </w:r>
            <w:r>
              <w:rPr>
                <w:rFonts w:hint="eastAsia" w:ascii="宋体" w:hAnsi="宋体" w:cs="宋体"/>
                <w:color w:val="auto"/>
                <w:sz w:val="21"/>
                <w:szCs w:val="21"/>
              </w:rPr>
              <w:t>视频演示实验室废水处理二个案例中真实现场运行过程视频，包含从高浓废水（桶装）进料开始到各工艺处理段的处理装置、流程。（0-5分）</w:t>
            </w:r>
          </w:p>
          <w:p>
            <w:pPr>
              <w:numPr>
                <w:numId w:val="0"/>
              </w:numPr>
              <w:ind w:leftChars="0"/>
              <w:rPr>
                <w:color w:val="auto"/>
              </w:rPr>
            </w:pPr>
            <w:r>
              <w:rPr>
                <w:rFonts w:hint="eastAsia" w:ascii="宋体" w:hAnsi="宋体" w:cs="宋体"/>
                <w:color w:val="auto"/>
                <w:sz w:val="21"/>
                <w:szCs w:val="21"/>
                <w:lang w:val="en-US" w:eastAsia="zh-CN"/>
              </w:rPr>
              <w:t>2.</w:t>
            </w:r>
            <w:r>
              <w:rPr>
                <w:rFonts w:hint="eastAsia" w:ascii="宋体" w:hAnsi="宋体" w:cs="宋体"/>
                <w:color w:val="auto"/>
                <w:sz w:val="21"/>
                <w:szCs w:val="21"/>
              </w:rPr>
              <w:t>视频演示</w:t>
            </w:r>
            <w:r>
              <w:rPr>
                <w:rFonts w:hint="eastAsia" w:ascii="宋体" w:hAnsi="宋体" w:cs="宋体"/>
                <w:color w:val="auto"/>
                <w:sz w:val="21"/>
                <w:szCs w:val="21"/>
                <w:lang w:eastAsia="zh-CN"/>
              </w:rPr>
              <w:t>能体现</w:t>
            </w:r>
            <w:r>
              <w:rPr>
                <w:rFonts w:hint="eastAsia" w:ascii="宋体" w:hAnsi="宋体" w:cs="宋体"/>
                <w:color w:val="auto"/>
                <w:sz w:val="21"/>
                <w:szCs w:val="21"/>
              </w:rPr>
              <w:t>学生实训装置、教学区</w:t>
            </w:r>
            <w:r>
              <w:rPr>
                <w:rFonts w:hint="eastAsia" w:ascii="宋体" w:hAnsi="宋体" w:cs="宋体"/>
                <w:color w:val="auto"/>
                <w:sz w:val="21"/>
                <w:szCs w:val="21"/>
                <w:lang w:eastAsia="zh-CN"/>
              </w:rPr>
              <w:t>布置和建设情况</w:t>
            </w:r>
            <w:r>
              <w:rPr>
                <w:rFonts w:hint="eastAsia" w:ascii="宋体" w:hAnsi="宋体" w:cs="宋体"/>
                <w:color w:val="auto"/>
                <w:sz w:val="21"/>
                <w:szCs w:val="21"/>
              </w:rPr>
              <w:t>。（0-</w:t>
            </w:r>
            <w:r>
              <w:rPr>
                <w:rFonts w:hint="eastAsia" w:ascii="宋体" w:hAnsi="宋体" w:cs="宋体"/>
                <w:color w:val="auto"/>
                <w:sz w:val="21"/>
                <w:szCs w:val="21"/>
                <w:lang w:val="en-US" w:eastAsia="zh-CN"/>
              </w:rPr>
              <w:t>5</w:t>
            </w:r>
            <w:r>
              <w:rPr>
                <w:rFonts w:hint="eastAsia" w:ascii="宋体" w:hAnsi="宋体" w:cs="宋体"/>
                <w:color w:val="auto"/>
                <w:sz w:val="21"/>
                <w:szCs w:val="21"/>
              </w:rPr>
              <w:t>分）</w:t>
            </w:r>
          </w:p>
          <w:p>
            <w:pPr>
              <w:pStyle w:val="2"/>
              <w:spacing w:line="360" w:lineRule="auto"/>
              <w:ind w:left="0" w:leftChars="0" w:firstLine="0" w:firstLineChars="0"/>
              <w:rPr>
                <w:color w:val="auto"/>
              </w:rPr>
            </w:pPr>
            <w:r>
              <w:rPr>
                <w:rFonts w:hint="eastAsia" w:ascii="宋体" w:hAnsi="宋体" w:cs="宋体"/>
                <w:color w:val="auto"/>
                <w:sz w:val="21"/>
                <w:szCs w:val="21"/>
                <w:lang w:val="en-US" w:eastAsia="zh-CN"/>
              </w:rPr>
              <w:t>3.</w:t>
            </w:r>
            <w:r>
              <w:rPr>
                <w:rFonts w:hint="eastAsia" w:ascii="宋体" w:hAnsi="宋体" w:cs="宋体"/>
                <w:color w:val="auto"/>
                <w:sz w:val="21"/>
                <w:szCs w:val="21"/>
              </w:rPr>
              <w:t>视频演示实验室废水处理二个案例的总控操作动态界面，包含各工艺段实时动态数据、参数设置、在线出水、过程废气的指标数据是否达标及预期效果。（0-5分）</w:t>
            </w:r>
          </w:p>
        </w:tc>
        <w:tc>
          <w:tcPr>
            <w:tcW w:w="86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lang w:val="en-US" w:eastAsia="zh-CN"/>
              </w:rPr>
              <w:t>15</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auto"/>
                <w:szCs w:val="21"/>
              </w:rPr>
            </w:pPr>
          </w:p>
        </w:tc>
        <w:tc>
          <w:tcPr>
            <w:tcW w:w="1276"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培训方案</w:t>
            </w:r>
          </w:p>
        </w:tc>
        <w:tc>
          <w:tcPr>
            <w:tcW w:w="6048" w:type="dxa"/>
            <w:vAlign w:val="center"/>
          </w:tcPr>
          <w:p>
            <w:pPr>
              <w:widowControl/>
              <w:spacing w:line="360" w:lineRule="auto"/>
              <w:jc w:val="left"/>
              <w:rPr>
                <w:rFonts w:ascii="宋体" w:hAnsi="宋体" w:cs="宋体"/>
                <w:color w:val="auto"/>
                <w:szCs w:val="21"/>
              </w:rPr>
            </w:pPr>
            <w:r>
              <w:rPr>
                <w:rFonts w:hint="eastAsia" w:ascii="宋体" w:hAnsi="宋体" w:cs="宋体"/>
                <w:color w:val="auto"/>
                <w:szCs w:val="21"/>
              </w:rPr>
              <w:t>投标人培训方案、地点、组织、人员配备、软硬件资料等内容是否完整、科学合理。（0-3分）</w:t>
            </w:r>
          </w:p>
        </w:tc>
        <w:tc>
          <w:tcPr>
            <w:tcW w:w="863" w:type="dxa"/>
            <w:vAlign w:val="center"/>
          </w:tcPr>
          <w:p>
            <w:pPr>
              <w:widowControl/>
              <w:spacing w:line="360" w:lineRule="auto"/>
              <w:jc w:val="center"/>
              <w:rPr>
                <w:rFonts w:ascii="宋体" w:hAnsi="宋体" w:cs="宋体"/>
                <w:color w:val="auto"/>
                <w:szCs w:val="21"/>
              </w:rPr>
            </w:pPr>
            <w:r>
              <w:rPr>
                <w:rFonts w:hint="eastAsia" w:ascii="宋体" w:hAnsi="宋体" w:cs="宋体"/>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auto"/>
                <w:szCs w:val="21"/>
              </w:rPr>
            </w:pPr>
          </w:p>
        </w:tc>
        <w:tc>
          <w:tcPr>
            <w:tcW w:w="1276" w:type="dxa"/>
            <w:vAlign w:val="center"/>
          </w:tcPr>
          <w:p>
            <w:pPr>
              <w:widowControl/>
              <w:spacing w:line="360" w:lineRule="auto"/>
              <w:jc w:val="center"/>
              <w:rPr>
                <w:rFonts w:hint="eastAsia" w:ascii="宋体" w:hAnsi="宋体" w:cs="宋体"/>
                <w:color w:val="auto"/>
                <w:szCs w:val="21"/>
              </w:rPr>
            </w:pPr>
            <w:r>
              <w:rPr>
                <w:rFonts w:hint="eastAsia" w:ascii="宋体" w:hAnsi="宋体" w:cs="宋体"/>
                <w:color w:val="auto"/>
                <w:szCs w:val="21"/>
                <w:lang w:val="en-US" w:eastAsia="zh-CN"/>
              </w:rPr>
              <w:t>质保期</w:t>
            </w:r>
          </w:p>
        </w:tc>
        <w:tc>
          <w:tcPr>
            <w:tcW w:w="6048" w:type="dxa"/>
            <w:vAlign w:val="center"/>
          </w:tcPr>
          <w:p>
            <w:pPr>
              <w:widowControl/>
              <w:spacing w:line="360" w:lineRule="auto"/>
              <w:jc w:val="left"/>
              <w:rPr>
                <w:rFonts w:hint="eastAsia" w:ascii="宋体" w:hAnsi="宋体" w:cs="宋体"/>
                <w:color w:val="auto"/>
                <w:szCs w:val="21"/>
              </w:rPr>
            </w:pPr>
            <w:r>
              <w:rPr>
                <w:rFonts w:hint="eastAsia"/>
                <w:color w:val="auto"/>
                <w:kern w:val="2"/>
                <w:sz w:val="21"/>
                <w:szCs w:val="21"/>
              </w:rPr>
              <w:t>质保期超过招标文件要求的，每增加半年得</w:t>
            </w:r>
            <w:r>
              <w:rPr>
                <w:rFonts w:hint="eastAsia" w:ascii="Times New Roman" w:hAnsi="Times New Roman" w:eastAsia="宋体" w:cs="Times New Roman"/>
                <w:color w:val="auto"/>
                <w:kern w:val="2"/>
                <w:sz w:val="21"/>
                <w:szCs w:val="21"/>
              </w:rPr>
              <w:t>1分</w:t>
            </w:r>
            <w:r>
              <w:rPr>
                <w:rFonts w:hint="eastAsia"/>
                <w:color w:val="auto"/>
                <w:kern w:val="2"/>
                <w:sz w:val="21"/>
                <w:szCs w:val="21"/>
              </w:rPr>
              <w:t>，最多</w:t>
            </w:r>
            <w:r>
              <w:rPr>
                <w:rFonts w:hint="eastAsia"/>
                <w:color w:val="auto"/>
                <w:kern w:val="2"/>
                <w:sz w:val="21"/>
                <w:szCs w:val="21"/>
                <w:lang w:val="en-US" w:eastAsia="zh-CN"/>
              </w:rPr>
              <w:t>2</w:t>
            </w:r>
            <w:r>
              <w:rPr>
                <w:rFonts w:hint="eastAsia"/>
                <w:color w:val="auto"/>
                <w:kern w:val="2"/>
                <w:sz w:val="21"/>
                <w:szCs w:val="21"/>
              </w:rPr>
              <w:t>分（0-</w:t>
            </w:r>
            <w:r>
              <w:rPr>
                <w:rFonts w:hint="eastAsia"/>
                <w:color w:val="auto"/>
                <w:kern w:val="2"/>
                <w:sz w:val="21"/>
                <w:szCs w:val="21"/>
                <w:lang w:val="en-US" w:eastAsia="zh-CN"/>
              </w:rPr>
              <w:t>2</w:t>
            </w:r>
            <w:r>
              <w:rPr>
                <w:rFonts w:hint="eastAsia"/>
                <w:color w:val="auto"/>
                <w:kern w:val="2"/>
                <w:sz w:val="21"/>
                <w:szCs w:val="21"/>
              </w:rPr>
              <w:t>分）。</w:t>
            </w:r>
          </w:p>
        </w:tc>
        <w:tc>
          <w:tcPr>
            <w:tcW w:w="863" w:type="dxa"/>
            <w:vAlign w:val="center"/>
          </w:tcPr>
          <w:p>
            <w:pPr>
              <w:widowControl/>
              <w:spacing w:line="36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auto"/>
                <w:szCs w:val="21"/>
              </w:rPr>
            </w:pPr>
          </w:p>
        </w:tc>
        <w:tc>
          <w:tcPr>
            <w:tcW w:w="1276" w:type="dxa"/>
            <w:vAlign w:val="center"/>
          </w:tcPr>
          <w:p>
            <w:pPr>
              <w:widowControl/>
              <w:spacing w:line="360" w:lineRule="auto"/>
              <w:jc w:val="center"/>
              <w:rPr>
                <w:rFonts w:ascii="宋体" w:hAnsi="宋体" w:cs="宋体"/>
                <w:color w:val="auto"/>
                <w:szCs w:val="21"/>
                <w:highlight w:val="red"/>
              </w:rPr>
            </w:pPr>
            <w:r>
              <w:rPr>
                <w:rFonts w:hint="eastAsia" w:ascii="宋体" w:hAnsi="宋体" w:cs="宋体"/>
                <w:color w:val="auto"/>
                <w:szCs w:val="21"/>
              </w:rPr>
              <w:t>服务承诺</w:t>
            </w:r>
          </w:p>
        </w:tc>
        <w:tc>
          <w:tcPr>
            <w:tcW w:w="6048" w:type="dxa"/>
            <w:vAlign w:val="center"/>
          </w:tcPr>
          <w:p>
            <w:pPr>
              <w:widowControl/>
              <w:spacing w:line="360" w:lineRule="auto"/>
              <w:jc w:val="left"/>
              <w:rPr>
                <w:rFonts w:ascii="宋体" w:hAnsi="宋体" w:cs="宋体"/>
                <w:color w:val="auto"/>
                <w:szCs w:val="21"/>
                <w:highlight w:val="red"/>
              </w:rPr>
            </w:pPr>
            <w:r>
              <w:rPr>
                <w:rFonts w:hint="eastAsia"/>
                <w:color w:val="auto"/>
                <w:szCs w:val="21"/>
              </w:rPr>
              <w:t>售后服务方案、维护人员和服务机构等情况，以及服务承诺的可行性、完整性以及服务承诺落实的保障措施，能及时提供备品备件及备品备件数量，定期巡检服务承诺，对用户服务响应措施情况等。</w:t>
            </w:r>
            <w:r>
              <w:rPr>
                <w:rFonts w:hint="eastAsia" w:ascii="宋体" w:hAnsi="宋体" w:cs="宋体"/>
                <w:color w:val="auto"/>
                <w:szCs w:val="21"/>
              </w:rPr>
              <w:t>（0-</w:t>
            </w:r>
            <w:r>
              <w:rPr>
                <w:rFonts w:hint="eastAsia" w:ascii="宋体" w:hAnsi="宋体" w:cs="宋体"/>
                <w:color w:val="auto"/>
                <w:szCs w:val="21"/>
                <w:lang w:val="en-US" w:eastAsia="zh-CN"/>
              </w:rPr>
              <w:t>3</w:t>
            </w:r>
            <w:r>
              <w:rPr>
                <w:rFonts w:hint="eastAsia" w:ascii="宋体" w:hAnsi="宋体" w:cs="宋体"/>
                <w:color w:val="auto"/>
                <w:szCs w:val="21"/>
              </w:rPr>
              <w:t>分）</w:t>
            </w:r>
          </w:p>
        </w:tc>
        <w:tc>
          <w:tcPr>
            <w:tcW w:w="863" w:type="dxa"/>
            <w:vAlign w:val="center"/>
          </w:tcPr>
          <w:p>
            <w:pPr>
              <w:widowControl/>
              <w:spacing w:line="360" w:lineRule="auto"/>
              <w:jc w:val="center"/>
              <w:rPr>
                <w:rFonts w:ascii="宋体" w:hAnsi="宋体" w:cs="宋体"/>
                <w:color w:val="auto"/>
                <w:szCs w:val="21"/>
                <w:highlight w:val="red"/>
              </w:rPr>
            </w:pPr>
            <w:r>
              <w:rPr>
                <w:rFonts w:hint="eastAsia" w:ascii="宋体" w:hAnsi="宋体" w:cs="宋体"/>
                <w:color w:val="auto"/>
                <w:szCs w:val="21"/>
                <w:lang w:val="en-US" w:eastAsia="zh-CN"/>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jc w:val="center"/>
        </w:trPr>
        <w:tc>
          <w:tcPr>
            <w:tcW w:w="993" w:type="dxa"/>
            <w:vMerge w:val="continue"/>
            <w:vAlign w:val="center"/>
          </w:tcPr>
          <w:p>
            <w:pPr>
              <w:widowControl/>
              <w:spacing w:line="360" w:lineRule="auto"/>
              <w:jc w:val="left"/>
              <w:rPr>
                <w:rFonts w:ascii="宋体" w:hAnsi="宋体" w:cs="宋体"/>
                <w:color w:val="auto"/>
                <w:szCs w:val="21"/>
              </w:rPr>
            </w:pPr>
          </w:p>
        </w:tc>
        <w:tc>
          <w:tcPr>
            <w:tcW w:w="1276"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质保期外的服务承诺</w:t>
            </w:r>
          </w:p>
        </w:tc>
        <w:tc>
          <w:tcPr>
            <w:tcW w:w="6048" w:type="dxa"/>
            <w:vAlign w:val="center"/>
          </w:tcPr>
          <w:p>
            <w:pPr>
              <w:pStyle w:val="26"/>
              <w:spacing w:beforeAutospacing="0" w:afterAutospacing="0" w:line="360" w:lineRule="auto"/>
              <w:jc w:val="both"/>
              <w:rPr>
                <w:color w:val="auto"/>
                <w:kern w:val="2"/>
                <w:sz w:val="21"/>
                <w:szCs w:val="21"/>
              </w:rPr>
            </w:pPr>
            <w:bookmarkStart w:id="13" w:name="_GoBack"/>
            <w:r>
              <w:rPr>
                <w:rFonts w:hint="eastAsia"/>
                <w:color w:val="auto"/>
                <w:kern w:val="2"/>
                <w:sz w:val="21"/>
                <w:szCs w:val="21"/>
              </w:rPr>
              <w:t>投标人质保期满后的技术支持和维护费用，提供上门维护、升级服务以及给予招标人的各种优惠条件（包括易损备品备件、专用耗材、人工费等）（0-</w:t>
            </w:r>
            <w:r>
              <w:rPr>
                <w:rFonts w:hint="eastAsia"/>
                <w:color w:val="auto"/>
                <w:kern w:val="2"/>
                <w:sz w:val="21"/>
                <w:szCs w:val="21"/>
                <w:lang w:val="en-US" w:eastAsia="zh-CN"/>
              </w:rPr>
              <w:t>3</w:t>
            </w:r>
            <w:r>
              <w:rPr>
                <w:rFonts w:hint="eastAsia"/>
                <w:color w:val="auto"/>
                <w:kern w:val="2"/>
                <w:sz w:val="21"/>
                <w:szCs w:val="21"/>
              </w:rPr>
              <w:t>分）。</w:t>
            </w:r>
            <w:bookmarkEnd w:id="13"/>
          </w:p>
        </w:tc>
        <w:tc>
          <w:tcPr>
            <w:tcW w:w="863" w:type="dxa"/>
            <w:vAlign w:val="center"/>
          </w:tcPr>
          <w:p>
            <w:pPr>
              <w:spacing w:line="360" w:lineRule="auto"/>
              <w:jc w:val="center"/>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p>
    <w:p>
      <w:pPr>
        <w:snapToGrid w:val="0"/>
        <w:spacing w:line="500" w:lineRule="exact"/>
        <w:jc w:val="center"/>
        <w:rPr>
          <w:b/>
          <w:bCs/>
          <w:color w:val="000000"/>
          <w:spacing w:val="20"/>
          <w:sz w:val="32"/>
        </w:rPr>
      </w:pPr>
    </w:p>
    <w:p>
      <w:pPr>
        <w:snapToGrid w:val="0"/>
        <w:spacing w:line="1100" w:lineRule="exact"/>
        <w:rPr>
          <w:rFonts w:hint="eastAsia" w:eastAsia="宋体"/>
          <w:b/>
          <w:color w:val="000000"/>
          <w:spacing w:val="20"/>
          <w:sz w:val="32"/>
          <w:szCs w:val="32"/>
          <w:lang w:eastAsia="zh-CN"/>
        </w:rPr>
      </w:pPr>
      <w:r>
        <w:rPr>
          <w:color w:val="000000"/>
          <w:spacing w:val="20"/>
          <w:sz w:val="32"/>
          <w:szCs w:val="32"/>
        </w:rPr>
        <w:t>项目编号：</w:t>
      </w:r>
      <w:r>
        <w:rPr>
          <w:b/>
          <w:color w:val="000000"/>
          <w:sz w:val="32"/>
          <w:szCs w:val="32"/>
        </w:rPr>
        <w:t>衢院招2023-</w:t>
      </w:r>
      <w:r>
        <w:rPr>
          <w:rFonts w:hint="eastAsia"/>
          <w:b/>
          <w:color w:val="000000"/>
          <w:sz w:val="32"/>
          <w:szCs w:val="32"/>
        </w:rPr>
        <w:t>07</w:t>
      </w:r>
      <w:r>
        <w:rPr>
          <w:rFonts w:hint="eastAsia"/>
          <w:b/>
          <w:color w:val="000000"/>
          <w:sz w:val="32"/>
          <w:szCs w:val="32"/>
          <w:lang w:eastAsia="zh-CN"/>
        </w:rPr>
        <w:t>（</w:t>
      </w:r>
      <w:r>
        <w:rPr>
          <w:rFonts w:hint="eastAsia"/>
          <w:b/>
          <w:color w:val="000000"/>
          <w:sz w:val="32"/>
          <w:szCs w:val="32"/>
          <w:lang w:val="en-US" w:eastAsia="zh-CN"/>
        </w:rPr>
        <w:t>第二次</w:t>
      </w:r>
      <w:r>
        <w:rPr>
          <w:rFonts w:hint="eastAsia"/>
          <w:b/>
          <w:color w:val="000000"/>
          <w:sz w:val="32"/>
          <w:szCs w:val="32"/>
          <w:lang w:eastAsia="zh-CN"/>
        </w:rPr>
        <w:t>）</w:t>
      </w:r>
    </w:p>
    <w:p>
      <w:pPr>
        <w:snapToGrid w:val="0"/>
        <w:spacing w:line="360" w:lineRule="auto"/>
        <w:rPr>
          <w:color w:val="000000"/>
          <w:spacing w:val="20"/>
          <w:sz w:val="32"/>
          <w:szCs w:val="32"/>
        </w:rPr>
      </w:pPr>
    </w:p>
    <w:p>
      <w:pPr>
        <w:spacing w:line="440" w:lineRule="exact"/>
        <w:rPr>
          <w:b/>
          <w:color w:val="000000"/>
          <w:sz w:val="32"/>
          <w:szCs w:val="32"/>
        </w:rPr>
      </w:pPr>
      <w:r>
        <w:rPr>
          <w:color w:val="000000"/>
          <w:spacing w:val="20"/>
          <w:sz w:val="32"/>
          <w:szCs w:val="32"/>
        </w:rPr>
        <w:t>项目名称：</w:t>
      </w:r>
      <w:r>
        <w:rPr>
          <w:rFonts w:hint="eastAsia"/>
          <w:b/>
          <w:color w:val="000000"/>
          <w:sz w:val="32"/>
          <w:szCs w:val="32"/>
        </w:rPr>
        <w:t>实验室废水处理实训系统</w:t>
      </w:r>
    </w:p>
    <w:p>
      <w:pPr>
        <w:snapToGrid w:val="0"/>
        <w:spacing w:line="360" w:lineRule="auto"/>
        <w:rPr>
          <w:b/>
          <w:color w:val="000000"/>
          <w:sz w:val="32"/>
          <w:szCs w:val="32"/>
        </w:rPr>
      </w:pP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投标函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79" w:leftChars="133" w:firstLine="280" w:firstLineChars="100"/>
        <w:rPr>
          <w:color w:val="000000"/>
          <w:sz w:val="28"/>
          <w:szCs w:val="28"/>
          <w:lang w:val="zh-CN"/>
        </w:rPr>
      </w:pP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pacing w:line="360" w:lineRule="auto"/>
        <w:rPr>
          <w:color w:val="000000"/>
          <w:sz w:val="28"/>
          <w:szCs w:val="28"/>
          <w:u w:val="single"/>
          <w:lang w:val="zh-CN"/>
        </w:rPr>
      </w:pP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（全名、职务）</w:t>
      </w:r>
      <w:r>
        <w:rPr>
          <w:color w:val="000000"/>
          <w:sz w:val="28"/>
          <w:szCs w:val="28"/>
          <w:lang w:val="zh-CN"/>
        </w:rPr>
        <w:t>为全权代表，参加贵方组织</w:t>
      </w:r>
      <w:r>
        <w:rPr>
          <w:rFonts w:hint="eastAsia"/>
          <w:b/>
          <w:color w:val="000000"/>
          <w:sz w:val="28"/>
          <w:szCs w:val="28"/>
          <w:u w:val="single"/>
          <w:lang w:val="zh-CN"/>
        </w:rPr>
        <w:t>实验室废水处理实训系统</w:t>
      </w:r>
      <w:r>
        <w:rPr>
          <w:color w:val="000000"/>
          <w:sz w:val="28"/>
          <w:szCs w:val="28"/>
          <w:lang w:val="zh-CN"/>
        </w:rPr>
        <w:t>（项目编号：</w:t>
      </w:r>
      <w:r>
        <w:rPr>
          <w:b/>
          <w:color w:val="000000"/>
          <w:sz w:val="28"/>
          <w:szCs w:val="28"/>
          <w:u w:val="single"/>
          <w:lang w:val="zh-CN"/>
        </w:rPr>
        <w:t>衢院招2023-</w:t>
      </w:r>
      <w:r>
        <w:rPr>
          <w:rFonts w:hint="eastAsia"/>
          <w:b/>
          <w:color w:val="000000"/>
          <w:sz w:val="28"/>
          <w:szCs w:val="28"/>
          <w:u w:val="single"/>
        </w:rPr>
        <w:t xml:space="preserve">07 </w:t>
      </w:r>
      <w:r>
        <w:rPr>
          <w:rFonts w:hint="eastAsia"/>
          <w:b/>
          <w:color w:val="000000"/>
          <w:sz w:val="28"/>
          <w:szCs w:val="28"/>
          <w:u w:val="single"/>
          <w:lang w:eastAsia="zh-CN"/>
        </w:rPr>
        <w:t>（</w:t>
      </w:r>
      <w:r>
        <w:rPr>
          <w:rFonts w:hint="eastAsia"/>
          <w:b/>
          <w:color w:val="000000"/>
          <w:sz w:val="28"/>
          <w:szCs w:val="28"/>
          <w:u w:val="single"/>
          <w:lang w:val="en-US" w:eastAsia="zh-CN"/>
        </w:rPr>
        <w:t>第二次</w:t>
      </w:r>
      <w:r>
        <w:rPr>
          <w:rFonts w:hint="eastAsia"/>
          <w:b/>
          <w:color w:val="000000"/>
          <w:sz w:val="28"/>
          <w:szCs w:val="28"/>
          <w:u w:val="single"/>
          <w:lang w:eastAsia="zh-CN"/>
        </w:rPr>
        <w:t>）</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rFonts w:hint="eastAsia"/>
          <w:color w:val="000000"/>
          <w:sz w:val="28"/>
          <w:szCs w:val="28"/>
        </w:rPr>
        <w:t xml:space="preserve">                        </w:t>
      </w:r>
      <w:r>
        <w:rPr>
          <w:color w:val="000000"/>
          <w:sz w:val="28"/>
          <w:szCs w:val="28"/>
          <w:lang w:val="zh-CN"/>
        </w:rPr>
        <w:t>邮编：</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rFonts w:hint="eastAsia"/>
          <w:color w:val="000000"/>
          <w:sz w:val="28"/>
          <w:szCs w:val="28"/>
        </w:rPr>
        <w:t xml:space="preserve">                        </w:t>
      </w:r>
      <w:r>
        <w:rPr>
          <w:color w:val="000000"/>
          <w:sz w:val="28"/>
          <w:szCs w:val="28"/>
          <w:lang w:val="zh-CN"/>
        </w:rPr>
        <w:t>传真：</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rFonts w:hint="eastAsia"/>
          <w:color w:val="000000"/>
          <w:sz w:val="28"/>
          <w:szCs w:val="28"/>
        </w:rPr>
        <w:t xml:space="preserve">                     </w:t>
      </w:r>
      <w:r>
        <w:rPr>
          <w:color w:val="000000"/>
          <w:sz w:val="28"/>
          <w:szCs w:val="28"/>
          <w:lang w:val="zh-CN"/>
        </w:rPr>
        <w:t>投标日期：</w:t>
      </w:r>
      <w:r>
        <w:rPr>
          <w:rFonts w:hint="eastAsia"/>
          <w:color w:val="000000"/>
          <w:sz w:val="28"/>
          <w:szCs w:val="28"/>
          <w:lang w:val="zh-CN"/>
        </w:rPr>
        <w:t xml:space="preserve"> </w:t>
      </w:r>
      <w:r>
        <w:rPr>
          <w:color w:val="000000"/>
          <w:sz w:val="28"/>
          <w:szCs w:val="28"/>
          <w:lang w:val="zh-CN"/>
        </w:rPr>
        <w:t>年</w:t>
      </w:r>
      <w:r>
        <w:rPr>
          <w:rFonts w:hint="eastAsia"/>
          <w:color w:val="000000"/>
          <w:sz w:val="28"/>
          <w:szCs w:val="28"/>
          <w:lang w:val="zh-CN"/>
        </w:rPr>
        <w:t xml:space="preserve"> </w:t>
      </w:r>
      <w:r>
        <w:rPr>
          <w:color w:val="000000"/>
          <w:sz w:val="28"/>
          <w:szCs w:val="28"/>
          <w:lang w:val="zh-CN"/>
        </w:rPr>
        <w:t>月</w:t>
      </w:r>
      <w:r>
        <w:rPr>
          <w:rFonts w:hint="eastAsia"/>
          <w:color w:val="000000"/>
          <w:sz w:val="28"/>
          <w:szCs w:val="28"/>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pacing w:line="360" w:lineRule="auto"/>
        <w:ind w:firstLine="495"/>
        <w:rPr>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w:t>
      </w:r>
      <w:r>
        <w:rPr>
          <w:color w:val="000000"/>
          <w:sz w:val="28"/>
          <w:szCs w:val="28"/>
          <w:lang w:val="zh-CN"/>
        </w:rPr>
        <w:t>参加贵单位组织的</w:t>
      </w:r>
      <w:r>
        <w:rPr>
          <w:rFonts w:hint="eastAsia"/>
          <w:b/>
          <w:color w:val="000000"/>
          <w:sz w:val="28"/>
          <w:szCs w:val="28"/>
          <w:u w:val="single"/>
          <w:lang w:val="zh-CN"/>
        </w:rPr>
        <w:t>实验室废水处理实训系统</w:t>
      </w:r>
      <w:r>
        <w:rPr>
          <w:color w:val="000000"/>
          <w:sz w:val="28"/>
          <w:szCs w:val="28"/>
          <w:lang w:val="zh-CN"/>
        </w:rPr>
        <w:t>（项目编号：</w:t>
      </w:r>
      <w:r>
        <w:rPr>
          <w:b/>
          <w:color w:val="000000"/>
          <w:sz w:val="28"/>
          <w:szCs w:val="28"/>
          <w:u w:val="single"/>
          <w:lang w:val="zh-CN"/>
        </w:rPr>
        <w:t>衢院招2023-</w:t>
      </w:r>
      <w:r>
        <w:rPr>
          <w:rFonts w:hint="eastAsia"/>
          <w:b/>
          <w:color w:val="000000"/>
          <w:sz w:val="28"/>
          <w:szCs w:val="28"/>
          <w:u w:val="single"/>
        </w:rPr>
        <w:t>07</w:t>
      </w:r>
      <w:r>
        <w:rPr>
          <w:rFonts w:hint="eastAsia"/>
          <w:b/>
          <w:color w:val="000000"/>
          <w:sz w:val="28"/>
          <w:szCs w:val="28"/>
          <w:u w:val="single"/>
          <w:lang w:eastAsia="zh-CN"/>
        </w:rPr>
        <w:t>（</w:t>
      </w:r>
      <w:r>
        <w:rPr>
          <w:rFonts w:hint="eastAsia"/>
          <w:b/>
          <w:color w:val="000000"/>
          <w:sz w:val="28"/>
          <w:szCs w:val="28"/>
          <w:u w:val="single"/>
          <w:lang w:val="en-US" w:eastAsia="zh-CN"/>
        </w:rPr>
        <w:t>第二次</w:t>
      </w:r>
      <w:r>
        <w:rPr>
          <w:rFonts w:hint="eastAsia"/>
          <w:b/>
          <w:color w:val="000000"/>
          <w:sz w:val="28"/>
          <w:szCs w:val="28"/>
          <w:u w:val="single"/>
          <w:lang w:eastAsia="zh-CN"/>
        </w:rPr>
        <w:t>）</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line="360" w:lineRule="auto"/>
        <w:ind w:firstLine="560" w:firstLineChars="20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年</w:t>
      </w:r>
      <w:r>
        <w:rPr>
          <w:rFonts w:hint="eastAsia"/>
          <w:color w:val="000000"/>
          <w:sz w:val="28"/>
          <w:szCs w:val="28"/>
          <w:lang w:val="zh-CN"/>
        </w:rPr>
        <w:t xml:space="preserve">  </w:t>
      </w:r>
      <w:r>
        <w:rPr>
          <w:color w:val="000000"/>
          <w:sz w:val="28"/>
          <w:szCs w:val="28"/>
          <w:lang w:val="zh-CN"/>
        </w:rPr>
        <w:t>月</w:t>
      </w:r>
      <w:r>
        <w:rPr>
          <w:rFonts w:hint="eastAsia"/>
          <w:color w:val="000000"/>
          <w:sz w:val="28"/>
          <w:szCs w:val="28"/>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p>
    <w:p>
      <w:pPr>
        <w:autoSpaceDE w:val="0"/>
        <w:autoSpaceDN w:val="0"/>
        <w:adjustRightInd w:val="0"/>
        <w:spacing w:line="360" w:lineRule="auto"/>
        <w:ind w:left="315"/>
        <w:rPr>
          <w:sz w:val="28"/>
          <w:szCs w:val="28"/>
          <w:lang w:val="zh-CN"/>
        </w:rPr>
      </w:pPr>
      <w:r>
        <w:rPr>
          <w:sz w:val="28"/>
          <w:szCs w:val="28"/>
          <w:lang w:val="zh-CN"/>
        </w:rPr>
        <w:t>职务：</w:t>
      </w:r>
    </w:p>
    <w:p>
      <w:pPr>
        <w:autoSpaceDE w:val="0"/>
        <w:autoSpaceDN w:val="0"/>
        <w:adjustRightInd w:val="0"/>
        <w:spacing w:line="360" w:lineRule="auto"/>
        <w:ind w:left="315"/>
        <w:rPr>
          <w:sz w:val="28"/>
          <w:szCs w:val="28"/>
          <w:u w:val="single"/>
          <w:lang w:val="zh-CN"/>
        </w:rPr>
      </w:pPr>
      <w:r>
        <w:rPr>
          <w:sz w:val="28"/>
          <w:szCs w:val="28"/>
          <w:lang w:val="zh-CN"/>
        </w:rPr>
        <w:t>身份证号码：</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rFonts w:hint="eastAsia"/>
          <w:color w:val="000000"/>
          <w:sz w:val="28"/>
          <w:szCs w:val="28"/>
        </w:rPr>
        <w:t xml:space="preserve">         </w:t>
      </w:r>
      <w:r>
        <w:rPr>
          <w:color w:val="000000"/>
          <w:sz w:val="28"/>
          <w:szCs w:val="28"/>
          <w:lang w:val="zh-CN"/>
        </w:rPr>
        <w:t>电话：</w:t>
      </w:r>
      <w:r>
        <w:rPr>
          <w:rFonts w:hint="eastAsia"/>
          <w:color w:val="000000"/>
          <w:sz w:val="28"/>
          <w:szCs w:val="28"/>
        </w:rPr>
        <w:t xml:space="preserve">          </w:t>
      </w:r>
      <w:r>
        <w:rPr>
          <w:color w:val="000000"/>
          <w:sz w:val="28"/>
          <w:szCs w:val="28"/>
          <w:lang w:val="zh-CN"/>
        </w:rPr>
        <w:t>邮编：</w:t>
      </w:r>
    </w:p>
    <w:p>
      <w:pPr>
        <w:pStyle w:val="2"/>
        <w:ind w:left="0" w:leftChars="0" w:firstLine="0" w:firstLineChars="0"/>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07</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实验室废水处理实训系统</w:t>
      </w:r>
    </w:p>
    <w:p>
      <w:pPr>
        <w:snapToGrid w:val="0"/>
        <w:spacing w:line="360" w:lineRule="auto"/>
        <w:rPr>
          <w:b/>
          <w:color w:val="000000"/>
          <w:sz w:val="28"/>
          <w:szCs w:val="28"/>
        </w:rPr>
      </w:pP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投标人（公章）：</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w:t>
      </w:r>
      <w:r>
        <w:rPr>
          <w:rFonts w:hint="eastAsia"/>
          <w:color w:val="000000"/>
          <w:sz w:val="28"/>
          <w:szCs w:val="28"/>
        </w:rPr>
        <w:t xml:space="preserve">       </w:t>
      </w:r>
      <w:r>
        <w:rPr>
          <w:color w:val="000000"/>
          <w:sz w:val="28"/>
          <w:szCs w:val="28"/>
          <w:lang w:val="zh-CN"/>
        </w:rPr>
        <w:t>职务：</w:t>
      </w:r>
      <w:r>
        <w:rPr>
          <w:rFonts w:hint="eastAsia"/>
          <w:color w:val="000000"/>
          <w:sz w:val="28"/>
          <w:szCs w:val="28"/>
        </w:rPr>
        <w:t xml:space="preserve">     </w:t>
      </w:r>
      <w:r>
        <w:rPr>
          <w:color w:val="000000"/>
          <w:sz w:val="28"/>
          <w:szCs w:val="28"/>
          <w:lang w:val="zh-CN"/>
        </w:rPr>
        <w:t>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07</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实验室废水处理实训系统</w:t>
      </w:r>
    </w:p>
    <w:p>
      <w:pPr>
        <w:snapToGrid w:val="0"/>
        <w:spacing w:line="360" w:lineRule="auto"/>
        <w:rPr>
          <w:b/>
          <w:color w:val="000000"/>
          <w:sz w:val="28"/>
          <w:szCs w:val="28"/>
        </w:rPr>
      </w:pP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合计</w:t>
            </w:r>
          </w:p>
          <w:p>
            <w:pPr>
              <w:pStyle w:val="5"/>
              <w:spacing w:line="400" w:lineRule="exact"/>
              <w:ind w:firstLine="0"/>
              <w:jc w:val="center"/>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p>
    <w:p>
      <w:pPr>
        <w:spacing w:line="480" w:lineRule="exact"/>
        <w:ind w:right="560"/>
        <w:rPr>
          <w:color w:val="000000"/>
          <w:sz w:val="28"/>
          <w:szCs w:val="28"/>
        </w:rPr>
      </w:pPr>
      <w:r>
        <w:rPr>
          <w:color w:val="000000"/>
          <w:sz w:val="28"/>
          <w:szCs w:val="28"/>
        </w:rPr>
        <w:t>投标人（公章）：</w:t>
      </w:r>
    </w:p>
    <w:p>
      <w:pPr>
        <w:spacing w:line="480" w:lineRule="exact"/>
        <w:ind w:right="560"/>
        <w:rPr>
          <w:bCs/>
          <w:color w:val="000000"/>
          <w:sz w:val="28"/>
          <w:szCs w:val="28"/>
        </w:rPr>
      </w:pPr>
      <w:r>
        <w:rPr>
          <w:color w:val="000000"/>
          <w:sz w:val="28"/>
          <w:szCs w:val="28"/>
        </w:rPr>
        <w:t>投标人全权代表签字：</w:t>
      </w:r>
    </w:p>
    <w:p>
      <w:pPr>
        <w:spacing w:line="480" w:lineRule="exact"/>
        <w:ind w:left="6221" w:leftChars="229" w:hanging="5740" w:hangingChars="2050"/>
        <w:rPr>
          <w:bCs/>
          <w:color w:val="000000"/>
          <w:sz w:val="28"/>
          <w:szCs w:val="28"/>
        </w:rPr>
      </w:pPr>
      <w:r>
        <w:rPr>
          <w:bCs/>
          <w:color w:val="000000"/>
          <w:sz w:val="28"/>
          <w:szCs w:val="28"/>
        </w:rPr>
        <w:t>年</w:t>
      </w:r>
      <w:r>
        <w:rPr>
          <w:rFonts w:hint="eastAsia"/>
          <w:bCs/>
          <w:color w:val="000000"/>
          <w:sz w:val="28"/>
          <w:szCs w:val="28"/>
        </w:rPr>
        <w:t xml:space="preserve">   </w:t>
      </w:r>
      <w:r>
        <w:rPr>
          <w:bCs/>
          <w:color w:val="000000"/>
          <w:sz w:val="28"/>
          <w:szCs w:val="28"/>
        </w:rPr>
        <w:t>月</w:t>
      </w:r>
      <w:r>
        <w:rPr>
          <w:rFonts w:hint="eastAsia"/>
          <w:bCs/>
          <w:color w:val="000000"/>
          <w:sz w:val="28"/>
          <w:szCs w:val="28"/>
        </w:rPr>
        <w:t xml:space="preserve">  </w:t>
      </w:r>
      <w:r>
        <w:rPr>
          <w:bCs/>
          <w:color w:val="000000"/>
          <w:sz w:val="28"/>
          <w:szCs w:val="28"/>
        </w:rPr>
        <w:t>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07</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实验室废水处理实训系统</w:t>
      </w:r>
    </w:p>
    <w:p>
      <w:pPr>
        <w:snapToGrid w:val="0"/>
        <w:spacing w:line="360" w:lineRule="auto"/>
        <w:rPr>
          <w:b/>
          <w:color w:val="000000"/>
          <w:sz w:val="28"/>
          <w:szCs w:val="28"/>
        </w:rPr>
      </w:pP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w:t>
      </w:r>
      <w:r>
        <w:rPr>
          <w:rFonts w:hint="eastAsia"/>
          <w:bCs/>
          <w:color w:val="000000"/>
          <w:sz w:val="28"/>
          <w:szCs w:val="28"/>
        </w:rPr>
        <w:t xml:space="preserve">   </w:t>
      </w:r>
      <w:r>
        <w:rPr>
          <w:bCs/>
          <w:color w:val="000000"/>
          <w:sz w:val="28"/>
          <w:szCs w:val="28"/>
        </w:rPr>
        <w:t>年</w:t>
      </w:r>
      <w:r>
        <w:rPr>
          <w:rFonts w:hint="eastAsia"/>
          <w:bCs/>
          <w:color w:val="000000"/>
          <w:sz w:val="28"/>
          <w:szCs w:val="28"/>
        </w:rPr>
        <w:t xml:space="preserve">  </w:t>
      </w:r>
      <w:r>
        <w:rPr>
          <w:bCs/>
          <w:color w:val="000000"/>
          <w:sz w:val="28"/>
          <w:szCs w:val="28"/>
        </w:rPr>
        <w:t>月</w:t>
      </w:r>
      <w:r>
        <w:rPr>
          <w:rFonts w:hint="eastAsia"/>
          <w:bCs/>
          <w:color w:val="000000"/>
          <w:sz w:val="28"/>
          <w:szCs w:val="28"/>
        </w:rPr>
        <w:t xml:space="preserve">  </w:t>
      </w:r>
      <w:r>
        <w:rPr>
          <w:bCs/>
          <w:color w:val="000000"/>
          <w:sz w:val="28"/>
          <w:szCs w:val="28"/>
        </w:rPr>
        <w:t>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07</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实验室废水处理实训系统</w:t>
      </w:r>
    </w:p>
    <w:p>
      <w:pPr>
        <w:spacing w:line="440" w:lineRule="exact"/>
        <w:rPr>
          <w:b/>
          <w:color w:val="000000"/>
          <w:sz w:val="28"/>
          <w:szCs w:val="28"/>
        </w:rPr>
      </w:pP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rFonts w:hint="eastAsia"/>
          <w:color w:val="000000"/>
          <w:sz w:val="28"/>
          <w:szCs w:val="28"/>
        </w:rPr>
        <w:t xml:space="preserve">   </w:t>
      </w:r>
      <w:r>
        <w:rPr>
          <w:color w:val="000000"/>
          <w:sz w:val="28"/>
          <w:szCs w:val="28"/>
          <w:lang w:val="zh-CN"/>
        </w:rPr>
        <w:t>年</w:t>
      </w:r>
      <w:r>
        <w:rPr>
          <w:rFonts w:hint="eastAsia"/>
          <w:color w:val="000000"/>
          <w:sz w:val="28"/>
          <w:szCs w:val="28"/>
        </w:rPr>
        <w:t xml:space="preserve">  </w:t>
      </w:r>
      <w:r>
        <w:rPr>
          <w:color w:val="000000"/>
          <w:sz w:val="28"/>
          <w:szCs w:val="28"/>
          <w:lang w:val="zh-CN"/>
        </w:rPr>
        <w:t>月</w:t>
      </w:r>
      <w:r>
        <w:rPr>
          <w:rFonts w:hint="eastAsia"/>
          <w:color w:val="000000"/>
          <w:sz w:val="28"/>
          <w:szCs w:val="28"/>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rPr>
        <w:t>07</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实验室废水处理实训系统</w:t>
      </w:r>
    </w:p>
    <w:p>
      <w:pPr>
        <w:snapToGrid w:val="0"/>
        <w:spacing w:line="360" w:lineRule="auto"/>
        <w:rPr>
          <w:b/>
          <w:color w:val="000000"/>
          <w:sz w:val="32"/>
          <w:szCs w:val="32"/>
        </w:rPr>
      </w:pP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rFonts w:hint="eastAsia"/>
          <w:color w:val="000000"/>
          <w:sz w:val="28"/>
          <w:szCs w:val="28"/>
        </w:rPr>
        <w:t xml:space="preserve">   </w:t>
      </w:r>
      <w:r>
        <w:rPr>
          <w:color w:val="000000"/>
          <w:sz w:val="28"/>
          <w:szCs w:val="28"/>
          <w:lang w:val="zh-CN"/>
        </w:rPr>
        <w:t>年</w:t>
      </w:r>
      <w:r>
        <w:rPr>
          <w:rFonts w:hint="eastAsia"/>
          <w:color w:val="000000"/>
          <w:sz w:val="28"/>
          <w:szCs w:val="28"/>
        </w:rPr>
        <w:t xml:space="preserve">  </w:t>
      </w:r>
      <w:r>
        <w:rPr>
          <w:color w:val="000000"/>
          <w:sz w:val="28"/>
          <w:szCs w:val="28"/>
          <w:lang w:val="zh-CN"/>
        </w:rPr>
        <w:t>月</w:t>
      </w:r>
      <w:r>
        <w:rPr>
          <w:rFonts w:hint="eastAsia"/>
          <w:color w:val="000000"/>
          <w:sz w:val="28"/>
          <w:szCs w:val="28"/>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sz w:val="28"/>
          <w:szCs w:val="28"/>
          <w:u w:val="single"/>
          <w:lang w:val="en-US" w:eastAsia="zh-CN"/>
        </w:rPr>
        <w:t>工</w:t>
      </w:r>
      <w:r>
        <w:rPr>
          <w:rFonts w:hint="eastAsia" w:ascii="宋体" w:hAnsi="宋体" w:cs="宋体"/>
          <w:sz w:val="28"/>
          <w:szCs w:val="28"/>
          <w:u w:val="single"/>
        </w:rPr>
        <w:t xml:space="preserve">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，从业人员人，营业收入为万元，资产总额为 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，从业人员人，营业收入为万元，资产总额为万元，属于（□中型企业、□小型企业、□微型企业）；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2"/>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pStyle w:val="2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
    <w:p>
      <w:pPr>
        <w:pStyle w:val="2"/>
        <w:ind w:left="2250" w:hanging="1200"/>
      </w:pPr>
    </w:p>
    <w:p/>
    <w:p>
      <w:pPr>
        <w:pStyle w:val="2"/>
        <w:ind w:left="2250" w:hanging="1200"/>
      </w:pPr>
    </w:p>
    <w:p/>
    <w:p>
      <w:pPr>
        <w:pStyle w:val="2"/>
        <w:ind w:left="2250" w:hanging="1200"/>
      </w:pPr>
    </w:p>
    <w:p/>
    <w:p>
      <w:pPr>
        <w:pStyle w:val="2"/>
        <w:ind w:left="2250" w:hanging="1200"/>
      </w:pPr>
    </w:p>
    <w:p/>
    <w:p>
      <w:pPr>
        <w:pStyle w:val="2"/>
        <w:ind w:left="2250" w:hanging="1200"/>
      </w:pPr>
    </w:p>
    <w:p/>
    <w:p>
      <w:pPr>
        <w:pStyle w:val="2"/>
        <w:ind w:left="2250" w:hanging="1200"/>
      </w:pPr>
    </w:p>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十二</w:t>
      </w:r>
      <w:r>
        <w:rPr>
          <w:rFonts w:hint="eastAsia" w:ascii="宋体" w:hAnsi="宋体" w:cs="宋体"/>
          <w:b/>
          <w:sz w:val="28"/>
          <w:szCs w:val="28"/>
          <w:lang w:val="en-GB"/>
        </w:rPr>
        <w:t>：</w:t>
      </w:r>
    </w:p>
    <w:p>
      <w:pPr>
        <w:pStyle w:val="5"/>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5"/>
        <w:overflowPunct w:val="0"/>
        <w:spacing w:line="460" w:lineRule="exact"/>
        <w:ind w:firstLine="0"/>
        <w:jc w:val="left"/>
        <w:rPr>
          <w:rFonts w:ascii="仿宋" w:hAnsi="仿宋" w:eastAsia="仿宋"/>
          <w:b/>
          <w:sz w:val="32"/>
          <w:szCs w:val="32"/>
        </w:rPr>
      </w:pPr>
      <w:r>
        <w:rPr>
          <w:rFonts w:hint="eastAsia" w:ascii="仿宋" w:hAnsi="仿宋" w:eastAsia="仿宋"/>
          <w:b/>
          <w:sz w:val="32"/>
          <w:szCs w:val="32"/>
        </w:rPr>
        <w:t>格式十三：</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格式十四：</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66</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hint="eastAsia" w:ascii="宋体" w:hAnsi="宋体" w:eastAsia="宋体"/>
        <w:lang w:eastAsia="zh-CN"/>
      </w:rPr>
    </w:pPr>
    <w:r>
      <w:rPr>
        <w:rFonts w:hint="eastAsia" w:ascii="宋体" w:hAnsi="宋体"/>
      </w:rPr>
      <w:t>项目编号：衢院招202</w:t>
    </w:r>
    <w:r>
      <w:rPr>
        <w:rFonts w:ascii="宋体" w:hAnsi="宋体"/>
      </w:rPr>
      <w:t>3</w:t>
    </w:r>
    <w:r>
      <w:rPr>
        <w:rFonts w:hint="eastAsia" w:ascii="宋体" w:hAnsi="宋体"/>
      </w:rPr>
      <w:t>-</w:t>
    </w:r>
    <w:r>
      <w:rPr>
        <w:rFonts w:ascii="宋体" w:hAnsi="宋体"/>
      </w:rPr>
      <w:t>0</w:t>
    </w:r>
    <w:r>
      <w:rPr>
        <w:rFonts w:hint="eastAsia" w:ascii="宋体" w:hAnsi="宋体"/>
      </w:rPr>
      <w:t>7</w:t>
    </w:r>
    <w:r>
      <w:rPr>
        <w:rFonts w:hint="eastAsia" w:ascii="宋体" w:hAnsi="宋体"/>
        <w:lang w:eastAsia="zh-CN"/>
      </w:rPr>
      <w:t>（</w:t>
    </w:r>
    <w:r>
      <w:rPr>
        <w:rFonts w:hint="eastAsia" w:ascii="宋体" w:hAnsi="宋体"/>
        <w:lang w:val="en-US" w:eastAsia="zh-CN"/>
      </w:rPr>
      <w:t>第二次</w:t>
    </w:r>
    <w:r>
      <w:rPr>
        <w:rFonts w:hint="eastAsia" w:ascii="宋体" w:hAnsi="宋体"/>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0119F4"/>
    <w:rsid w:val="0001582C"/>
    <w:rsid w:val="00024D18"/>
    <w:rsid w:val="0003132E"/>
    <w:rsid w:val="00033A83"/>
    <w:rsid w:val="000370DA"/>
    <w:rsid w:val="00042C34"/>
    <w:rsid w:val="00053A51"/>
    <w:rsid w:val="00086EA8"/>
    <w:rsid w:val="000B0B5E"/>
    <w:rsid w:val="000B112A"/>
    <w:rsid w:val="000B136E"/>
    <w:rsid w:val="000B1D16"/>
    <w:rsid w:val="000C7CB2"/>
    <w:rsid w:val="000E0688"/>
    <w:rsid w:val="000F4431"/>
    <w:rsid w:val="000F465B"/>
    <w:rsid w:val="000F5520"/>
    <w:rsid w:val="000F5F9B"/>
    <w:rsid w:val="001037EE"/>
    <w:rsid w:val="00103986"/>
    <w:rsid w:val="00103CE9"/>
    <w:rsid w:val="00110CE1"/>
    <w:rsid w:val="00125A42"/>
    <w:rsid w:val="00131FD2"/>
    <w:rsid w:val="00145E38"/>
    <w:rsid w:val="00156A18"/>
    <w:rsid w:val="00156EB3"/>
    <w:rsid w:val="001571FE"/>
    <w:rsid w:val="00163E3F"/>
    <w:rsid w:val="00164454"/>
    <w:rsid w:val="0017637B"/>
    <w:rsid w:val="00183A2F"/>
    <w:rsid w:val="001909B8"/>
    <w:rsid w:val="00194ECF"/>
    <w:rsid w:val="00196C9E"/>
    <w:rsid w:val="001B0047"/>
    <w:rsid w:val="001C064C"/>
    <w:rsid w:val="001C153E"/>
    <w:rsid w:val="001C4EDB"/>
    <w:rsid w:val="001C5F70"/>
    <w:rsid w:val="001C7D4C"/>
    <w:rsid w:val="001D0BEB"/>
    <w:rsid w:val="001D1E67"/>
    <w:rsid w:val="001D40E2"/>
    <w:rsid w:val="001D4DB8"/>
    <w:rsid w:val="001E424F"/>
    <w:rsid w:val="002012F3"/>
    <w:rsid w:val="0021279B"/>
    <w:rsid w:val="002343DF"/>
    <w:rsid w:val="00236994"/>
    <w:rsid w:val="002520D3"/>
    <w:rsid w:val="00252C92"/>
    <w:rsid w:val="00255221"/>
    <w:rsid w:val="00257315"/>
    <w:rsid w:val="00260D1A"/>
    <w:rsid w:val="00265188"/>
    <w:rsid w:val="00267B5E"/>
    <w:rsid w:val="0028776B"/>
    <w:rsid w:val="00294A4F"/>
    <w:rsid w:val="00295F09"/>
    <w:rsid w:val="00296315"/>
    <w:rsid w:val="002A0F3A"/>
    <w:rsid w:val="002B09D1"/>
    <w:rsid w:val="002C2EFF"/>
    <w:rsid w:val="002C6BB4"/>
    <w:rsid w:val="002C7142"/>
    <w:rsid w:val="002D375C"/>
    <w:rsid w:val="002D4789"/>
    <w:rsid w:val="002E57E3"/>
    <w:rsid w:val="002F1CB3"/>
    <w:rsid w:val="002F3AAA"/>
    <w:rsid w:val="00302586"/>
    <w:rsid w:val="00322FD8"/>
    <w:rsid w:val="00325D4B"/>
    <w:rsid w:val="00327C9B"/>
    <w:rsid w:val="00330037"/>
    <w:rsid w:val="0033111D"/>
    <w:rsid w:val="0033434B"/>
    <w:rsid w:val="00360B97"/>
    <w:rsid w:val="0036355A"/>
    <w:rsid w:val="003709BC"/>
    <w:rsid w:val="00371F23"/>
    <w:rsid w:val="00377B74"/>
    <w:rsid w:val="00380941"/>
    <w:rsid w:val="00384905"/>
    <w:rsid w:val="00385022"/>
    <w:rsid w:val="003912B6"/>
    <w:rsid w:val="00394D5C"/>
    <w:rsid w:val="003A5680"/>
    <w:rsid w:val="003A68EC"/>
    <w:rsid w:val="003B07B8"/>
    <w:rsid w:val="003B3870"/>
    <w:rsid w:val="003B519F"/>
    <w:rsid w:val="003D1863"/>
    <w:rsid w:val="003D1DE9"/>
    <w:rsid w:val="003D2C89"/>
    <w:rsid w:val="003D4C4C"/>
    <w:rsid w:val="003E615B"/>
    <w:rsid w:val="003E6514"/>
    <w:rsid w:val="00410D0C"/>
    <w:rsid w:val="00414836"/>
    <w:rsid w:val="004320A7"/>
    <w:rsid w:val="004450AA"/>
    <w:rsid w:val="00447739"/>
    <w:rsid w:val="00451082"/>
    <w:rsid w:val="00457C32"/>
    <w:rsid w:val="004627D3"/>
    <w:rsid w:val="00466163"/>
    <w:rsid w:val="00497428"/>
    <w:rsid w:val="00497B9E"/>
    <w:rsid w:val="004A7525"/>
    <w:rsid w:val="004B2924"/>
    <w:rsid w:val="004B6CCB"/>
    <w:rsid w:val="004C5981"/>
    <w:rsid w:val="004C6381"/>
    <w:rsid w:val="004D14E5"/>
    <w:rsid w:val="004D1E23"/>
    <w:rsid w:val="004E05C1"/>
    <w:rsid w:val="004F7FC7"/>
    <w:rsid w:val="00510149"/>
    <w:rsid w:val="005102AA"/>
    <w:rsid w:val="00510C44"/>
    <w:rsid w:val="00531BE3"/>
    <w:rsid w:val="00534836"/>
    <w:rsid w:val="005465FE"/>
    <w:rsid w:val="00547569"/>
    <w:rsid w:val="00553648"/>
    <w:rsid w:val="00553F11"/>
    <w:rsid w:val="005612F7"/>
    <w:rsid w:val="005630DA"/>
    <w:rsid w:val="0057483F"/>
    <w:rsid w:val="00582B74"/>
    <w:rsid w:val="00583390"/>
    <w:rsid w:val="00584755"/>
    <w:rsid w:val="005A2773"/>
    <w:rsid w:val="005C1C2D"/>
    <w:rsid w:val="005C3325"/>
    <w:rsid w:val="005D3D54"/>
    <w:rsid w:val="005D4250"/>
    <w:rsid w:val="005D4FF5"/>
    <w:rsid w:val="005D69DD"/>
    <w:rsid w:val="005D6CF7"/>
    <w:rsid w:val="005E1AB8"/>
    <w:rsid w:val="005E588E"/>
    <w:rsid w:val="005F372E"/>
    <w:rsid w:val="00602A43"/>
    <w:rsid w:val="00603A47"/>
    <w:rsid w:val="0060576B"/>
    <w:rsid w:val="0061467E"/>
    <w:rsid w:val="00616AEF"/>
    <w:rsid w:val="00617CF3"/>
    <w:rsid w:val="006244C4"/>
    <w:rsid w:val="00632C0F"/>
    <w:rsid w:val="00637D3F"/>
    <w:rsid w:val="006430A0"/>
    <w:rsid w:val="00651544"/>
    <w:rsid w:val="00651CE5"/>
    <w:rsid w:val="00652EB5"/>
    <w:rsid w:val="00654D78"/>
    <w:rsid w:val="0066452F"/>
    <w:rsid w:val="00691AE2"/>
    <w:rsid w:val="00693A28"/>
    <w:rsid w:val="00693D33"/>
    <w:rsid w:val="006A14F3"/>
    <w:rsid w:val="006A2B43"/>
    <w:rsid w:val="006B2248"/>
    <w:rsid w:val="006C523A"/>
    <w:rsid w:val="006D2054"/>
    <w:rsid w:val="006E611C"/>
    <w:rsid w:val="006F4457"/>
    <w:rsid w:val="006F63A7"/>
    <w:rsid w:val="00705395"/>
    <w:rsid w:val="00713DA0"/>
    <w:rsid w:val="007168FA"/>
    <w:rsid w:val="00721DDC"/>
    <w:rsid w:val="00727664"/>
    <w:rsid w:val="007310B1"/>
    <w:rsid w:val="00737D12"/>
    <w:rsid w:val="0074481C"/>
    <w:rsid w:val="00746746"/>
    <w:rsid w:val="00750AAF"/>
    <w:rsid w:val="0075575F"/>
    <w:rsid w:val="00766FD5"/>
    <w:rsid w:val="007765B6"/>
    <w:rsid w:val="00777314"/>
    <w:rsid w:val="00780977"/>
    <w:rsid w:val="00784713"/>
    <w:rsid w:val="007A31B1"/>
    <w:rsid w:val="007A5A99"/>
    <w:rsid w:val="007A6917"/>
    <w:rsid w:val="007B5CB1"/>
    <w:rsid w:val="007B741B"/>
    <w:rsid w:val="007C2CDD"/>
    <w:rsid w:val="007C3B0D"/>
    <w:rsid w:val="007C3BEA"/>
    <w:rsid w:val="007C6B2F"/>
    <w:rsid w:val="007C7448"/>
    <w:rsid w:val="007D59C2"/>
    <w:rsid w:val="007D6D94"/>
    <w:rsid w:val="007D6DC7"/>
    <w:rsid w:val="007D747B"/>
    <w:rsid w:val="007E7637"/>
    <w:rsid w:val="007F0629"/>
    <w:rsid w:val="007F1058"/>
    <w:rsid w:val="007F6651"/>
    <w:rsid w:val="00803114"/>
    <w:rsid w:val="00820A01"/>
    <w:rsid w:val="008255C9"/>
    <w:rsid w:val="0082593B"/>
    <w:rsid w:val="00831ABF"/>
    <w:rsid w:val="0083264C"/>
    <w:rsid w:val="00833577"/>
    <w:rsid w:val="00833B8D"/>
    <w:rsid w:val="008360A1"/>
    <w:rsid w:val="0084324A"/>
    <w:rsid w:val="008434EF"/>
    <w:rsid w:val="0084583F"/>
    <w:rsid w:val="00856E30"/>
    <w:rsid w:val="0085776F"/>
    <w:rsid w:val="00860E3A"/>
    <w:rsid w:val="00874299"/>
    <w:rsid w:val="00883E2F"/>
    <w:rsid w:val="00886B39"/>
    <w:rsid w:val="00896977"/>
    <w:rsid w:val="00896A5B"/>
    <w:rsid w:val="00897A8B"/>
    <w:rsid w:val="008A3F7B"/>
    <w:rsid w:val="008A7739"/>
    <w:rsid w:val="008B1694"/>
    <w:rsid w:val="008B2FDE"/>
    <w:rsid w:val="008B51C3"/>
    <w:rsid w:val="008B78EA"/>
    <w:rsid w:val="008C5F1B"/>
    <w:rsid w:val="008E008A"/>
    <w:rsid w:val="00907040"/>
    <w:rsid w:val="0091700F"/>
    <w:rsid w:val="009205CA"/>
    <w:rsid w:val="00920EBA"/>
    <w:rsid w:val="009279E5"/>
    <w:rsid w:val="009654F0"/>
    <w:rsid w:val="0096692D"/>
    <w:rsid w:val="00971761"/>
    <w:rsid w:val="00976A17"/>
    <w:rsid w:val="00977B08"/>
    <w:rsid w:val="00982524"/>
    <w:rsid w:val="00982BB4"/>
    <w:rsid w:val="00985C27"/>
    <w:rsid w:val="009865B6"/>
    <w:rsid w:val="00992D28"/>
    <w:rsid w:val="00993D93"/>
    <w:rsid w:val="009A5C85"/>
    <w:rsid w:val="009B7711"/>
    <w:rsid w:val="00A0364C"/>
    <w:rsid w:val="00A14CB7"/>
    <w:rsid w:val="00A16EA6"/>
    <w:rsid w:val="00A17E9B"/>
    <w:rsid w:val="00A212DD"/>
    <w:rsid w:val="00A23DC2"/>
    <w:rsid w:val="00A360E1"/>
    <w:rsid w:val="00A375D3"/>
    <w:rsid w:val="00A40FCE"/>
    <w:rsid w:val="00A440B8"/>
    <w:rsid w:val="00A52D2A"/>
    <w:rsid w:val="00A614AA"/>
    <w:rsid w:val="00A63166"/>
    <w:rsid w:val="00A71191"/>
    <w:rsid w:val="00A7545C"/>
    <w:rsid w:val="00A8177A"/>
    <w:rsid w:val="00A83435"/>
    <w:rsid w:val="00A90096"/>
    <w:rsid w:val="00A920B0"/>
    <w:rsid w:val="00A92765"/>
    <w:rsid w:val="00A957B4"/>
    <w:rsid w:val="00AB6FA8"/>
    <w:rsid w:val="00AD0CD5"/>
    <w:rsid w:val="00B10889"/>
    <w:rsid w:val="00B14161"/>
    <w:rsid w:val="00B14D68"/>
    <w:rsid w:val="00B21BA4"/>
    <w:rsid w:val="00B310C8"/>
    <w:rsid w:val="00B35010"/>
    <w:rsid w:val="00B35FCD"/>
    <w:rsid w:val="00B44770"/>
    <w:rsid w:val="00B46D40"/>
    <w:rsid w:val="00B57C2A"/>
    <w:rsid w:val="00B63990"/>
    <w:rsid w:val="00B7711C"/>
    <w:rsid w:val="00B83FDD"/>
    <w:rsid w:val="00B9369E"/>
    <w:rsid w:val="00BC62D4"/>
    <w:rsid w:val="00BD286C"/>
    <w:rsid w:val="00BD4719"/>
    <w:rsid w:val="00BF1F6D"/>
    <w:rsid w:val="00BF77D2"/>
    <w:rsid w:val="00C012DA"/>
    <w:rsid w:val="00C025C8"/>
    <w:rsid w:val="00C03404"/>
    <w:rsid w:val="00C166D2"/>
    <w:rsid w:val="00C27082"/>
    <w:rsid w:val="00C41DEC"/>
    <w:rsid w:val="00C5328B"/>
    <w:rsid w:val="00C609E8"/>
    <w:rsid w:val="00C722B8"/>
    <w:rsid w:val="00C94D25"/>
    <w:rsid w:val="00C97717"/>
    <w:rsid w:val="00C97944"/>
    <w:rsid w:val="00CA50DC"/>
    <w:rsid w:val="00CB24E3"/>
    <w:rsid w:val="00CB40FF"/>
    <w:rsid w:val="00CB5855"/>
    <w:rsid w:val="00CD08A6"/>
    <w:rsid w:val="00CD6B98"/>
    <w:rsid w:val="00CD75C2"/>
    <w:rsid w:val="00CE381F"/>
    <w:rsid w:val="00CE58F8"/>
    <w:rsid w:val="00CF2DCF"/>
    <w:rsid w:val="00CF4C6A"/>
    <w:rsid w:val="00CF57D2"/>
    <w:rsid w:val="00D04271"/>
    <w:rsid w:val="00D10287"/>
    <w:rsid w:val="00D110CE"/>
    <w:rsid w:val="00D123E1"/>
    <w:rsid w:val="00D140B3"/>
    <w:rsid w:val="00D21257"/>
    <w:rsid w:val="00D30C51"/>
    <w:rsid w:val="00D33E99"/>
    <w:rsid w:val="00D357A2"/>
    <w:rsid w:val="00D54A52"/>
    <w:rsid w:val="00D6242B"/>
    <w:rsid w:val="00D63055"/>
    <w:rsid w:val="00D6483B"/>
    <w:rsid w:val="00D73126"/>
    <w:rsid w:val="00D87184"/>
    <w:rsid w:val="00D94099"/>
    <w:rsid w:val="00D9593D"/>
    <w:rsid w:val="00DA7C6C"/>
    <w:rsid w:val="00DC1E79"/>
    <w:rsid w:val="00DE0665"/>
    <w:rsid w:val="00DE2290"/>
    <w:rsid w:val="00DE32C3"/>
    <w:rsid w:val="00DE48CB"/>
    <w:rsid w:val="00DE57C7"/>
    <w:rsid w:val="00DF1072"/>
    <w:rsid w:val="00DF5FBB"/>
    <w:rsid w:val="00E04136"/>
    <w:rsid w:val="00E0534F"/>
    <w:rsid w:val="00E3479B"/>
    <w:rsid w:val="00E43547"/>
    <w:rsid w:val="00E52816"/>
    <w:rsid w:val="00E640B8"/>
    <w:rsid w:val="00E651C2"/>
    <w:rsid w:val="00E71365"/>
    <w:rsid w:val="00E778A0"/>
    <w:rsid w:val="00E90703"/>
    <w:rsid w:val="00E94D64"/>
    <w:rsid w:val="00EA48A9"/>
    <w:rsid w:val="00EB2454"/>
    <w:rsid w:val="00EC012F"/>
    <w:rsid w:val="00EC205E"/>
    <w:rsid w:val="00ED0881"/>
    <w:rsid w:val="00ED6F24"/>
    <w:rsid w:val="00EF18B4"/>
    <w:rsid w:val="00EF282F"/>
    <w:rsid w:val="00EF386B"/>
    <w:rsid w:val="00EF4ABD"/>
    <w:rsid w:val="00F1624C"/>
    <w:rsid w:val="00F30D09"/>
    <w:rsid w:val="00F30D6D"/>
    <w:rsid w:val="00F44387"/>
    <w:rsid w:val="00F57747"/>
    <w:rsid w:val="00F60275"/>
    <w:rsid w:val="00F729B6"/>
    <w:rsid w:val="00F778AE"/>
    <w:rsid w:val="00F8521D"/>
    <w:rsid w:val="00F858D9"/>
    <w:rsid w:val="00F905B4"/>
    <w:rsid w:val="00F92DF4"/>
    <w:rsid w:val="00F96F8A"/>
    <w:rsid w:val="00FB421E"/>
    <w:rsid w:val="00FC0BE3"/>
    <w:rsid w:val="00FC288D"/>
    <w:rsid w:val="00FE55EE"/>
    <w:rsid w:val="00FF54A4"/>
    <w:rsid w:val="00FF63C7"/>
    <w:rsid w:val="011B1FCC"/>
    <w:rsid w:val="0209204E"/>
    <w:rsid w:val="02A4476B"/>
    <w:rsid w:val="04454CE0"/>
    <w:rsid w:val="045D0827"/>
    <w:rsid w:val="07A5681C"/>
    <w:rsid w:val="07A86870"/>
    <w:rsid w:val="093A2C57"/>
    <w:rsid w:val="0AEB2813"/>
    <w:rsid w:val="0B5532C8"/>
    <w:rsid w:val="0B656417"/>
    <w:rsid w:val="0C457ECC"/>
    <w:rsid w:val="0C712CDF"/>
    <w:rsid w:val="0C8F6D85"/>
    <w:rsid w:val="0D295D80"/>
    <w:rsid w:val="0DE016F7"/>
    <w:rsid w:val="0E484B44"/>
    <w:rsid w:val="0E641029"/>
    <w:rsid w:val="0ED10695"/>
    <w:rsid w:val="0F6C23C0"/>
    <w:rsid w:val="0F814ADD"/>
    <w:rsid w:val="0FC63F72"/>
    <w:rsid w:val="114535BD"/>
    <w:rsid w:val="11976AD9"/>
    <w:rsid w:val="12A625AE"/>
    <w:rsid w:val="12E731B1"/>
    <w:rsid w:val="13237AEB"/>
    <w:rsid w:val="1331204B"/>
    <w:rsid w:val="133B4CD1"/>
    <w:rsid w:val="13653AA2"/>
    <w:rsid w:val="16844FDE"/>
    <w:rsid w:val="17CF1E32"/>
    <w:rsid w:val="18FA4C8D"/>
    <w:rsid w:val="19477408"/>
    <w:rsid w:val="19653D51"/>
    <w:rsid w:val="19D14EA8"/>
    <w:rsid w:val="1A3939C2"/>
    <w:rsid w:val="1A91740B"/>
    <w:rsid w:val="1A976271"/>
    <w:rsid w:val="1C471E85"/>
    <w:rsid w:val="1CB02F9D"/>
    <w:rsid w:val="1D380AD1"/>
    <w:rsid w:val="1DA72ED5"/>
    <w:rsid w:val="1E6A621D"/>
    <w:rsid w:val="20966F52"/>
    <w:rsid w:val="225E1532"/>
    <w:rsid w:val="23943E52"/>
    <w:rsid w:val="239F6E52"/>
    <w:rsid w:val="241E461F"/>
    <w:rsid w:val="25B309F8"/>
    <w:rsid w:val="267A4D75"/>
    <w:rsid w:val="26FF0685"/>
    <w:rsid w:val="27A53726"/>
    <w:rsid w:val="282712A0"/>
    <w:rsid w:val="285919D0"/>
    <w:rsid w:val="296D5BA2"/>
    <w:rsid w:val="2B6E6F8C"/>
    <w:rsid w:val="2C091017"/>
    <w:rsid w:val="2D4C1B03"/>
    <w:rsid w:val="2E8E79FB"/>
    <w:rsid w:val="2F224D9E"/>
    <w:rsid w:val="2F93591D"/>
    <w:rsid w:val="31406D47"/>
    <w:rsid w:val="32525CAD"/>
    <w:rsid w:val="325F7998"/>
    <w:rsid w:val="337E053C"/>
    <w:rsid w:val="34EA39B0"/>
    <w:rsid w:val="34F74D40"/>
    <w:rsid w:val="35C8614C"/>
    <w:rsid w:val="35D22DC1"/>
    <w:rsid w:val="362B0721"/>
    <w:rsid w:val="36F41125"/>
    <w:rsid w:val="37531CE0"/>
    <w:rsid w:val="37B849F2"/>
    <w:rsid w:val="388303A3"/>
    <w:rsid w:val="394967BA"/>
    <w:rsid w:val="39765D9D"/>
    <w:rsid w:val="39A813D2"/>
    <w:rsid w:val="39DB6B4B"/>
    <w:rsid w:val="3A365A6E"/>
    <w:rsid w:val="3A920683"/>
    <w:rsid w:val="3D915310"/>
    <w:rsid w:val="3DA54918"/>
    <w:rsid w:val="3F01437D"/>
    <w:rsid w:val="3FAB68B0"/>
    <w:rsid w:val="3FC42670"/>
    <w:rsid w:val="3FDE6AE5"/>
    <w:rsid w:val="40074139"/>
    <w:rsid w:val="40BC4452"/>
    <w:rsid w:val="41272EDD"/>
    <w:rsid w:val="41F25392"/>
    <w:rsid w:val="41F36599"/>
    <w:rsid w:val="420961C8"/>
    <w:rsid w:val="427C396E"/>
    <w:rsid w:val="42C21D66"/>
    <w:rsid w:val="43AA4D55"/>
    <w:rsid w:val="43BA70A1"/>
    <w:rsid w:val="45055D2A"/>
    <w:rsid w:val="45240818"/>
    <w:rsid w:val="45B36749"/>
    <w:rsid w:val="45D53C98"/>
    <w:rsid w:val="4705769D"/>
    <w:rsid w:val="478B4B7E"/>
    <w:rsid w:val="48151A6D"/>
    <w:rsid w:val="483309C5"/>
    <w:rsid w:val="48790E7B"/>
    <w:rsid w:val="4938265A"/>
    <w:rsid w:val="4A656FDD"/>
    <w:rsid w:val="4C664AD5"/>
    <w:rsid w:val="4E623B70"/>
    <w:rsid w:val="4F796605"/>
    <w:rsid w:val="4FA352F7"/>
    <w:rsid w:val="502D5B5E"/>
    <w:rsid w:val="51E34B13"/>
    <w:rsid w:val="52B92EEC"/>
    <w:rsid w:val="53556C51"/>
    <w:rsid w:val="536D4A7F"/>
    <w:rsid w:val="54412E27"/>
    <w:rsid w:val="554657A9"/>
    <w:rsid w:val="55564A1D"/>
    <w:rsid w:val="56BA3C51"/>
    <w:rsid w:val="57340C6A"/>
    <w:rsid w:val="5AB33249"/>
    <w:rsid w:val="5AD327B0"/>
    <w:rsid w:val="5ADB1D96"/>
    <w:rsid w:val="5B6B7468"/>
    <w:rsid w:val="5C875E04"/>
    <w:rsid w:val="5CA6628A"/>
    <w:rsid w:val="5DE800BA"/>
    <w:rsid w:val="5E4246C2"/>
    <w:rsid w:val="5E562522"/>
    <w:rsid w:val="5F473769"/>
    <w:rsid w:val="5FDE7DAF"/>
    <w:rsid w:val="60020FB9"/>
    <w:rsid w:val="62124EC1"/>
    <w:rsid w:val="628E1C9B"/>
    <w:rsid w:val="63815C94"/>
    <w:rsid w:val="64371EBE"/>
    <w:rsid w:val="64E536C8"/>
    <w:rsid w:val="64F4297D"/>
    <w:rsid w:val="65197815"/>
    <w:rsid w:val="68B940F7"/>
    <w:rsid w:val="68E87C2B"/>
    <w:rsid w:val="6B5C28AF"/>
    <w:rsid w:val="6C417663"/>
    <w:rsid w:val="6CE44397"/>
    <w:rsid w:val="6CF075EC"/>
    <w:rsid w:val="6D1E3C1B"/>
    <w:rsid w:val="6DF0602B"/>
    <w:rsid w:val="6E9E4DAA"/>
    <w:rsid w:val="6FAD715C"/>
    <w:rsid w:val="71235C1C"/>
    <w:rsid w:val="722515A8"/>
    <w:rsid w:val="732C6966"/>
    <w:rsid w:val="732E7C9D"/>
    <w:rsid w:val="74011985"/>
    <w:rsid w:val="7496088C"/>
    <w:rsid w:val="7544443B"/>
    <w:rsid w:val="75CE3385"/>
    <w:rsid w:val="76DD4B47"/>
    <w:rsid w:val="77710335"/>
    <w:rsid w:val="7980236A"/>
    <w:rsid w:val="798D1B6E"/>
    <w:rsid w:val="7AA73245"/>
    <w:rsid w:val="7B741DD4"/>
    <w:rsid w:val="7C13117C"/>
    <w:rsid w:val="7C3C0AB4"/>
    <w:rsid w:val="7C7F41E6"/>
    <w:rsid w:val="7DFA2555"/>
    <w:rsid w:val="7EC80E76"/>
    <w:rsid w:val="7EEA4424"/>
    <w:rsid w:val="7F056364"/>
    <w:rsid w:val="7F2F057A"/>
    <w:rsid w:val="7F721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link w:val="43"/>
    <w:qFormat/>
    <w:uiPriority w:val="99"/>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link w:val="36"/>
    <w:semiHidden/>
    <w:unhideWhenUsed/>
    <w:qFormat/>
    <w:uiPriority w:val="0"/>
    <w:pPr>
      <w:jc w:val="left"/>
    </w:pPr>
  </w:style>
  <w:style w:type="paragraph" w:styleId="8">
    <w:name w:val="Body Text Indent"/>
    <w:basedOn w:val="1"/>
    <w:qFormat/>
    <w:uiPriority w:val="0"/>
    <w:pPr>
      <w:spacing w:after="120"/>
      <w:ind w:left="420" w:leftChars="200"/>
    </w:pPr>
  </w:style>
  <w:style w:type="paragraph" w:styleId="9">
    <w:name w:val="Plain Text"/>
    <w:basedOn w:val="1"/>
    <w:link w:val="42"/>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Balloon Text"/>
    <w:basedOn w:val="1"/>
    <w:link w:val="32"/>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b/>
      <w:bCs/>
      <w:caps/>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annotation subject"/>
    <w:basedOn w:val="7"/>
    <w:next w:val="7"/>
    <w:link w:val="37"/>
    <w:semiHidden/>
    <w:unhideWhenUsed/>
    <w:qFormat/>
    <w:uiPriority w:val="0"/>
    <w:rPr>
      <w:b/>
      <w:bCs/>
    </w:rPr>
  </w:style>
  <w:style w:type="character" w:styleId="19">
    <w:name w:val="Strong"/>
    <w:basedOn w:val="18"/>
    <w:qFormat/>
    <w:uiPriority w:val="0"/>
    <w:rPr>
      <w:b/>
    </w:rPr>
  </w:style>
  <w:style w:type="character" w:styleId="20">
    <w:name w:val="Hyperlink"/>
    <w:basedOn w:val="18"/>
    <w:qFormat/>
    <w:uiPriority w:val="0"/>
    <w:rPr>
      <w:color w:val="0563C1" w:themeColor="hyperlink"/>
      <w:u w:val="single"/>
      <w14:textFill>
        <w14:solidFill>
          <w14:schemeClr w14:val="hlink"/>
        </w14:solidFill>
      </w14:textFill>
    </w:rPr>
  </w:style>
  <w:style w:type="character" w:styleId="21">
    <w:name w:val="annotation reference"/>
    <w:basedOn w:val="18"/>
    <w:unhideWhenUsed/>
    <w:qFormat/>
    <w:uiPriority w:val="0"/>
    <w:rPr>
      <w:sz w:val="21"/>
      <w:szCs w:val="21"/>
    </w:rPr>
  </w:style>
  <w:style w:type="paragraph" w:customStyle="1" w:styleId="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8">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9">
    <w:name w:val="NormalCharacter"/>
    <w:qFormat/>
    <w:uiPriority w:val="0"/>
  </w:style>
  <w:style w:type="character" w:customStyle="1" w:styleId="30">
    <w:name w:val="fontstyle01"/>
    <w:basedOn w:val="18"/>
    <w:qFormat/>
    <w:uiPriority w:val="0"/>
    <w:rPr>
      <w:rFonts w:hint="default" w:ascii="TimesNewRoman" w:hAnsi="TimesNewRoman"/>
      <w:color w:val="000000"/>
      <w:sz w:val="22"/>
      <w:szCs w:val="22"/>
    </w:rPr>
  </w:style>
  <w:style w:type="character" w:customStyle="1" w:styleId="31">
    <w:name w:val="标题 1 Char"/>
    <w:basedOn w:val="18"/>
    <w:link w:val="3"/>
    <w:qFormat/>
    <w:uiPriority w:val="0"/>
    <w:rPr>
      <w:rFonts w:ascii="Times New Roman" w:hAnsi="Times New Roman" w:eastAsia="宋体" w:cs="Times New Roman"/>
      <w:b/>
      <w:bCs/>
      <w:kern w:val="44"/>
      <w:sz w:val="44"/>
      <w:szCs w:val="44"/>
    </w:rPr>
  </w:style>
  <w:style w:type="character" w:customStyle="1" w:styleId="32">
    <w:name w:val="批注框文本 Char"/>
    <w:basedOn w:val="18"/>
    <w:link w:val="11"/>
    <w:qFormat/>
    <w:uiPriority w:val="0"/>
    <w:rPr>
      <w:rFonts w:ascii="Times New Roman" w:hAnsi="Times New Roman" w:eastAsia="宋体" w:cs="Times New Roman"/>
      <w:kern w:val="2"/>
      <w:sz w:val="18"/>
      <w:szCs w:val="18"/>
    </w:rPr>
  </w:style>
  <w:style w:type="paragraph" w:customStyle="1" w:styleId="33">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5">
    <w:name w:val="页眉字符1"/>
    <w:basedOn w:val="18"/>
    <w:qFormat/>
    <w:uiPriority w:val="0"/>
    <w:rPr>
      <w:kern w:val="2"/>
      <w:sz w:val="18"/>
      <w:szCs w:val="18"/>
    </w:rPr>
  </w:style>
  <w:style w:type="character" w:customStyle="1" w:styleId="36">
    <w:name w:val="批注文字 Char"/>
    <w:basedOn w:val="18"/>
    <w:link w:val="7"/>
    <w:semiHidden/>
    <w:qFormat/>
    <w:uiPriority w:val="0"/>
    <w:rPr>
      <w:rFonts w:ascii="Times New Roman" w:hAnsi="Times New Roman" w:eastAsia="宋体" w:cs="Times New Roman"/>
      <w:kern w:val="2"/>
      <w:sz w:val="21"/>
      <w:szCs w:val="24"/>
    </w:rPr>
  </w:style>
  <w:style w:type="character" w:customStyle="1" w:styleId="37">
    <w:name w:val="批注主题 Char"/>
    <w:basedOn w:val="36"/>
    <w:link w:val="16"/>
    <w:semiHidden/>
    <w:qFormat/>
    <w:uiPriority w:val="0"/>
    <w:rPr>
      <w:rFonts w:ascii="Times New Roman" w:hAnsi="Times New Roman" w:eastAsia="宋体" w:cs="Times New Roman"/>
      <w:b/>
      <w:bCs/>
      <w:kern w:val="2"/>
      <w:sz w:val="21"/>
      <w:szCs w:val="24"/>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font41"/>
    <w:basedOn w:val="18"/>
    <w:qFormat/>
    <w:uiPriority w:val="0"/>
    <w:rPr>
      <w:rFonts w:hint="eastAsia" w:ascii="宋体" w:hAnsi="宋体" w:eastAsia="宋体"/>
      <w:color w:val="000000"/>
      <w:sz w:val="22"/>
      <w:szCs w:val="22"/>
      <w:u w:val="none"/>
    </w:rPr>
  </w:style>
  <w:style w:type="character" w:customStyle="1" w:styleId="40">
    <w:name w:val="font31"/>
    <w:basedOn w:val="18"/>
    <w:qFormat/>
    <w:uiPriority w:val="0"/>
    <w:rPr>
      <w:rFonts w:hint="eastAsia" w:ascii="宋体" w:hAnsi="宋体" w:eastAsia="宋体"/>
      <w:color w:val="000000"/>
      <w:sz w:val="22"/>
      <w:szCs w:val="22"/>
      <w:u w:val="none"/>
      <w:vertAlign w:val="superscript"/>
    </w:rPr>
  </w:style>
  <w:style w:type="character" w:customStyle="1" w:styleId="41">
    <w:name w:val="font71"/>
    <w:basedOn w:val="18"/>
    <w:qFormat/>
    <w:uiPriority w:val="0"/>
    <w:rPr>
      <w:rFonts w:hint="eastAsia" w:ascii="宋体" w:hAnsi="宋体" w:eastAsia="宋体"/>
      <w:color w:val="000000"/>
      <w:sz w:val="22"/>
      <w:szCs w:val="22"/>
      <w:u w:val="none"/>
      <w:vertAlign w:val="subscript"/>
    </w:rPr>
  </w:style>
  <w:style w:type="character" w:customStyle="1" w:styleId="42">
    <w:name w:val="纯文本 Char"/>
    <w:basedOn w:val="18"/>
    <w:link w:val="9"/>
    <w:qFormat/>
    <w:uiPriority w:val="0"/>
    <w:rPr>
      <w:rFonts w:ascii="宋体" w:hAnsi="Courier New" w:eastAsia="宋体" w:cs="Times New Roman"/>
      <w:sz w:val="21"/>
    </w:rPr>
  </w:style>
  <w:style w:type="character" w:customStyle="1" w:styleId="43">
    <w:name w:val="信息标题 Char"/>
    <w:basedOn w:val="18"/>
    <w:link w:val="2"/>
    <w:qFormat/>
    <w:uiPriority w:val="99"/>
    <w:rPr>
      <w:rFonts w:ascii="Arial" w:hAnsi="Arial" w:eastAsia="宋体" w:cs="Times New Roman"/>
      <w:kern w:val="2"/>
      <w:sz w:val="24"/>
      <w:szCs w:val="24"/>
    </w:rPr>
  </w:style>
  <w:style w:type="paragraph" w:customStyle="1" w:styleId="44">
    <w:name w:val="表格"/>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5959</Words>
  <Characters>33972</Characters>
  <Lines>283</Lines>
  <Paragraphs>79</Paragraphs>
  <TotalTime>25</TotalTime>
  <ScaleCrop>false</ScaleCrop>
  <LinksUpToDate>false</LinksUpToDate>
  <CharactersWithSpaces>39852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2023-04-23T02:16:00Z</dcterms:created>
  <dc:creator>Administrator</dc:creator>
  <cp:lastModifiedBy>Administrator</cp:lastModifiedBy>
  <cp:lastPrinted>2023-11-23T07:19:18Z</cp:lastPrinted>
  <dcterms:modified xsi:type="dcterms:W3CDTF">2023-11-23T07:41:03Z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9BF9359393F7461A933CF2BDCF38969F_13</vt:lpwstr>
  </property>
</Properties>
</file>