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sz w:val="36"/>
          <w:szCs w:val="36"/>
        </w:rPr>
      </w:pPr>
      <w:r>
        <w:rPr>
          <w:rFonts w:hint="eastAsia" w:ascii="黑体" w:hAnsi="黑体" w:eastAsia="黑体"/>
          <w:sz w:val="36"/>
          <w:szCs w:val="36"/>
        </w:rPr>
        <w:t>单一来源采购方式专业人员论证意见</w:t>
      </w:r>
    </w:p>
    <w:tbl>
      <w:tblPr>
        <w:tblStyle w:val="3"/>
        <w:tblW w:w="872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027"/>
        <w:gridCol w:w="897"/>
        <w:gridCol w:w="554"/>
        <w:gridCol w:w="1272"/>
        <w:gridCol w:w="1606"/>
        <w:gridCol w:w="595"/>
        <w:gridCol w:w="687"/>
        <w:gridCol w:w="1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799" w:type="dxa"/>
            <w:vMerge w:val="restart"/>
            <w:vAlign w:val="center"/>
          </w:tcPr>
          <w:p>
            <w:pPr>
              <w:spacing w:line="360" w:lineRule="auto"/>
              <w:rPr>
                <w:rFonts w:ascii="仿宋" w:hAnsi="仿宋" w:eastAsia="仿宋"/>
                <w:kern w:val="0"/>
                <w:sz w:val="28"/>
                <w:szCs w:val="28"/>
              </w:rPr>
            </w:pPr>
            <w:r>
              <w:rPr>
                <w:rFonts w:hint="eastAsia" w:ascii="仿宋" w:hAnsi="仿宋" w:eastAsia="仿宋"/>
                <w:kern w:val="0"/>
                <w:sz w:val="28"/>
                <w:szCs w:val="28"/>
              </w:rPr>
              <w:t>项目信息</w:t>
            </w:r>
          </w:p>
        </w:tc>
        <w:tc>
          <w:tcPr>
            <w:tcW w:w="1924" w:type="dxa"/>
            <w:gridSpan w:val="2"/>
            <w:vAlign w:val="center"/>
          </w:tcPr>
          <w:p>
            <w:pPr>
              <w:spacing w:line="360" w:lineRule="auto"/>
              <w:jc w:val="center"/>
              <w:rPr>
                <w:rFonts w:ascii="仿宋" w:hAnsi="仿宋" w:eastAsia="仿宋"/>
                <w:kern w:val="0"/>
                <w:sz w:val="28"/>
                <w:szCs w:val="28"/>
              </w:rPr>
            </w:pPr>
            <w:r>
              <w:rPr>
                <w:rFonts w:hint="eastAsia" w:ascii="仿宋" w:hAnsi="仿宋" w:eastAsia="仿宋"/>
                <w:kern w:val="0"/>
                <w:sz w:val="28"/>
                <w:szCs w:val="28"/>
              </w:rPr>
              <w:t>采购单位</w:t>
            </w:r>
          </w:p>
        </w:tc>
        <w:tc>
          <w:tcPr>
            <w:tcW w:w="1826" w:type="dxa"/>
            <w:gridSpan w:val="2"/>
            <w:vAlign w:val="center"/>
          </w:tcPr>
          <w:p>
            <w:pPr>
              <w:spacing w:line="360" w:lineRule="auto"/>
              <w:jc w:val="center"/>
              <w:rPr>
                <w:rFonts w:ascii="仿宋" w:hAnsi="仿宋" w:eastAsia="仿宋"/>
                <w:kern w:val="0"/>
                <w:sz w:val="28"/>
                <w:szCs w:val="28"/>
              </w:rPr>
            </w:pPr>
            <w:r>
              <w:rPr>
                <w:rFonts w:hint="eastAsia" w:ascii="仿宋" w:hAnsi="仿宋" w:eastAsia="仿宋"/>
                <w:kern w:val="0"/>
                <w:sz w:val="28"/>
                <w:szCs w:val="28"/>
              </w:rPr>
              <w:t>衢州学院</w:t>
            </w:r>
          </w:p>
        </w:tc>
        <w:tc>
          <w:tcPr>
            <w:tcW w:w="2201" w:type="dxa"/>
            <w:gridSpan w:val="2"/>
            <w:vAlign w:val="center"/>
          </w:tcPr>
          <w:p>
            <w:pPr>
              <w:adjustRightInd w:val="0"/>
              <w:snapToGrid w:val="0"/>
              <w:spacing w:line="360" w:lineRule="auto"/>
              <w:jc w:val="center"/>
              <w:rPr>
                <w:rFonts w:ascii="仿宋" w:hAnsi="仿宋" w:eastAsia="仿宋"/>
                <w:kern w:val="0"/>
                <w:sz w:val="28"/>
                <w:szCs w:val="28"/>
              </w:rPr>
            </w:pPr>
            <w:r>
              <w:rPr>
                <w:rFonts w:hint="eastAsia" w:ascii="仿宋" w:hAnsi="仿宋" w:eastAsia="仿宋"/>
                <w:kern w:val="0"/>
                <w:sz w:val="28"/>
                <w:szCs w:val="28"/>
              </w:rPr>
              <w:t>论证时间</w:t>
            </w:r>
          </w:p>
        </w:tc>
        <w:tc>
          <w:tcPr>
            <w:tcW w:w="1974" w:type="dxa"/>
            <w:gridSpan w:val="2"/>
          </w:tcPr>
          <w:p>
            <w:pPr>
              <w:spacing w:line="360" w:lineRule="auto"/>
              <w:rPr>
                <w:rFonts w:hint="eastAsia" w:ascii="仿宋" w:hAnsi="仿宋" w:eastAsia="仿宋"/>
                <w:kern w:val="0"/>
                <w:sz w:val="28"/>
                <w:szCs w:val="28"/>
              </w:rPr>
            </w:pPr>
            <w:r>
              <w:rPr>
                <w:rFonts w:hint="eastAsia" w:ascii="仿宋" w:hAnsi="仿宋" w:eastAsia="仿宋"/>
                <w:kern w:val="0"/>
                <w:sz w:val="28"/>
                <w:szCs w:val="28"/>
              </w:rPr>
              <w:t>2026.09.11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7" w:hRule="atLeast"/>
          <w:jc w:val="center"/>
        </w:trPr>
        <w:tc>
          <w:tcPr>
            <w:tcW w:w="799" w:type="dxa"/>
            <w:vMerge w:val="continue"/>
            <w:vAlign w:val="center"/>
          </w:tcPr>
          <w:p>
            <w:pPr>
              <w:spacing w:line="360" w:lineRule="auto"/>
              <w:rPr>
                <w:rFonts w:ascii="仿宋" w:hAnsi="仿宋" w:eastAsia="仿宋"/>
                <w:kern w:val="0"/>
                <w:sz w:val="28"/>
                <w:szCs w:val="28"/>
              </w:rPr>
            </w:pPr>
          </w:p>
        </w:tc>
        <w:tc>
          <w:tcPr>
            <w:tcW w:w="1924" w:type="dxa"/>
            <w:gridSpan w:val="2"/>
            <w:vAlign w:val="center"/>
          </w:tcPr>
          <w:p>
            <w:pPr>
              <w:adjustRightInd w:val="0"/>
              <w:snapToGrid w:val="0"/>
              <w:spacing w:line="360" w:lineRule="auto"/>
              <w:jc w:val="center"/>
              <w:rPr>
                <w:rFonts w:ascii="仿宋" w:hAnsi="仿宋" w:eastAsia="仿宋"/>
                <w:kern w:val="0"/>
                <w:sz w:val="28"/>
                <w:szCs w:val="28"/>
              </w:rPr>
            </w:pPr>
            <w:r>
              <w:rPr>
                <w:rFonts w:hint="eastAsia" w:ascii="仿宋" w:hAnsi="仿宋" w:eastAsia="仿宋"/>
                <w:kern w:val="0"/>
                <w:sz w:val="28"/>
                <w:szCs w:val="28"/>
              </w:rPr>
              <w:t>项目名称</w:t>
            </w:r>
          </w:p>
        </w:tc>
        <w:tc>
          <w:tcPr>
            <w:tcW w:w="1826" w:type="dxa"/>
            <w:gridSpan w:val="2"/>
          </w:tcPr>
          <w:p>
            <w:pPr>
              <w:pStyle w:val="5"/>
              <w:rPr>
                <w:rFonts w:ascii="仿宋" w:hAnsi="仿宋" w:eastAsia="仿宋" w:cs="Times New Roman"/>
                <w:color w:val="auto"/>
              </w:rPr>
            </w:pPr>
            <w:bookmarkStart w:id="0" w:name="OLE_LINK2"/>
            <w:r>
              <w:rPr>
                <w:rFonts w:ascii="仿宋" w:hAnsi="仿宋" w:eastAsia="仿宋" w:cs="Times New Roman"/>
                <w:color w:val="auto"/>
              </w:rPr>
              <w:t>《“两子”文化润疆:衢州南孔文化与围棋文化在新疆的传播与实践访</w:t>
            </w:r>
          </w:p>
          <w:p>
            <w:pPr>
              <w:pStyle w:val="5"/>
            </w:pPr>
            <w:r>
              <w:rPr>
                <w:rFonts w:ascii="仿宋" w:hAnsi="仿宋" w:eastAsia="仿宋" w:cs="Times New Roman"/>
                <w:color w:val="auto"/>
              </w:rPr>
              <w:t>谈录》</w:t>
            </w:r>
            <w:r>
              <w:rPr>
                <w:rFonts w:hint="eastAsia" w:ascii="仿宋" w:hAnsi="仿宋" w:eastAsia="仿宋" w:cs="Times New Roman"/>
                <w:color w:val="auto"/>
              </w:rPr>
              <w:t>出版社出版服务采购</w:t>
            </w:r>
            <w:bookmarkEnd w:id="0"/>
          </w:p>
        </w:tc>
        <w:tc>
          <w:tcPr>
            <w:tcW w:w="2201" w:type="dxa"/>
            <w:gridSpan w:val="2"/>
            <w:vAlign w:val="center"/>
          </w:tcPr>
          <w:p>
            <w:pPr>
              <w:adjustRightInd w:val="0"/>
              <w:snapToGrid w:val="0"/>
              <w:spacing w:line="360" w:lineRule="auto"/>
              <w:jc w:val="center"/>
              <w:rPr>
                <w:rFonts w:ascii="仿宋" w:hAnsi="仿宋" w:eastAsia="仿宋"/>
                <w:kern w:val="0"/>
                <w:sz w:val="28"/>
                <w:szCs w:val="28"/>
              </w:rPr>
            </w:pPr>
            <w:r>
              <w:rPr>
                <w:rFonts w:hint="eastAsia" w:ascii="仿宋" w:hAnsi="仿宋" w:eastAsia="仿宋"/>
                <w:kern w:val="0"/>
                <w:sz w:val="28"/>
                <w:szCs w:val="28"/>
              </w:rPr>
              <w:t>预算金额</w:t>
            </w:r>
          </w:p>
        </w:tc>
        <w:tc>
          <w:tcPr>
            <w:tcW w:w="1974" w:type="dxa"/>
            <w:gridSpan w:val="2"/>
            <w:vAlign w:val="center"/>
          </w:tcPr>
          <w:p>
            <w:pPr>
              <w:adjustRightInd w:val="0"/>
              <w:snapToGrid w:val="0"/>
              <w:spacing w:line="360" w:lineRule="auto"/>
              <w:jc w:val="center"/>
              <w:rPr>
                <w:rFonts w:ascii="仿宋" w:hAnsi="仿宋" w:eastAsia="仿宋"/>
                <w:kern w:val="0"/>
                <w:sz w:val="28"/>
                <w:szCs w:val="28"/>
              </w:rPr>
            </w:pPr>
            <w:r>
              <w:rPr>
                <w:rFonts w:hint="eastAsia" w:ascii="仿宋" w:hAnsi="仿宋" w:eastAsia="仿宋"/>
                <w:kern w:val="0"/>
                <w:sz w:val="28"/>
                <w:szCs w:val="28"/>
              </w:rPr>
              <w:t>1</w:t>
            </w:r>
            <w:r>
              <w:rPr>
                <w:rFonts w:ascii="仿宋" w:hAnsi="仿宋" w:eastAsia="仿宋"/>
                <w:kern w:val="0"/>
                <w:sz w:val="28"/>
                <w:szCs w:val="28"/>
              </w:rPr>
              <w:t>7</w:t>
            </w:r>
            <w:r>
              <w:rPr>
                <w:rFonts w:hint="eastAsia" w:ascii="仿宋" w:hAnsi="仿宋" w:eastAsia="仿宋"/>
                <w:kern w:val="0"/>
                <w:sz w:val="28"/>
                <w:szCs w:val="28"/>
              </w:rPr>
              <w:t>.</w:t>
            </w:r>
            <w:r>
              <w:rPr>
                <w:rFonts w:ascii="仿宋" w:hAnsi="仿宋" w:eastAsia="仿宋"/>
                <w:kern w:val="0"/>
                <w:sz w:val="28"/>
                <w:szCs w:val="28"/>
              </w:rPr>
              <w:t>9</w:t>
            </w:r>
            <w:r>
              <w:rPr>
                <w:rFonts w:hint="eastAsia" w:ascii="仿宋" w:hAnsi="仿宋" w:eastAsia="仿宋"/>
                <w:kern w:val="0"/>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799" w:type="dxa"/>
            <w:vMerge w:val="continue"/>
          </w:tcPr>
          <w:p>
            <w:pPr>
              <w:spacing w:line="360" w:lineRule="auto"/>
              <w:rPr>
                <w:rFonts w:ascii="仿宋" w:hAnsi="仿宋" w:eastAsia="仿宋"/>
                <w:kern w:val="0"/>
                <w:sz w:val="28"/>
                <w:szCs w:val="28"/>
              </w:rPr>
            </w:pPr>
          </w:p>
        </w:tc>
        <w:tc>
          <w:tcPr>
            <w:tcW w:w="1924" w:type="dxa"/>
            <w:gridSpan w:val="2"/>
            <w:vAlign w:val="center"/>
          </w:tcPr>
          <w:p>
            <w:pPr>
              <w:spacing w:line="360" w:lineRule="auto"/>
              <w:jc w:val="center"/>
              <w:rPr>
                <w:rFonts w:ascii="仿宋" w:hAnsi="仿宋" w:eastAsia="仿宋"/>
                <w:kern w:val="0"/>
                <w:sz w:val="28"/>
                <w:szCs w:val="28"/>
              </w:rPr>
            </w:pPr>
            <w:r>
              <w:rPr>
                <w:rFonts w:hint="eastAsia" w:ascii="仿宋" w:hAnsi="仿宋" w:eastAsia="仿宋"/>
                <w:kern w:val="0"/>
                <w:sz w:val="28"/>
                <w:szCs w:val="28"/>
              </w:rPr>
              <w:t>供应商名称</w:t>
            </w:r>
          </w:p>
        </w:tc>
        <w:tc>
          <w:tcPr>
            <w:tcW w:w="6001" w:type="dxa"/>
            <w:gridSpan w:val="6"/>
          </w:tcPr>
          <w:p>
            <w:pPr>
              <w:spacing w:line="360" w:lineRule="auto"/>
              <w:rPr>
                <w:rFonts w:ascii="仿宋" w:hAnsi="仿宋" w:eastAsia="仿宋"/>
                <w:kern w:val="0"/>
                <w:sz w:val="28"/>
                <w:szCs w:val="28"/>
              </w:rPr>
            </w:pPr>
            <w:r>
              <w:rPr>
                <w:rFonts w:hint="eastAsia" w:ascii="仿宋" w:hAnsi="仿宋" w:eastAsia="仿宋"/>
                <w:kern w:val="0"/>
                <w:sz w:val="24"/>
                <w:szCs w:val="24"/>
              </w:rPr>
              <w:t>人民日报出版社有限责任公司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9" w:hRule="atLeast"/>
          <w:jc w:val="center"/>
        </w:trPr>
        <w:tc>
          <w:tcPr>
            <w:tcW w:w="799" w:type="dxa"/>
            <w:vAlign w:val="center"/>
          </w:tcPr>
          <w:p>
            <w:pPr>
              <w:spacing w:line="360" w:lineRule="auto"/>
              <w:rPr>
                <w:rFonts w:ascii="仿宋" w:hAnsi="仿宋" w:eastAsia="仿宋"/>
                <w:kern w:val="0"/>
                <w:sz w:val="28"/>
                <w:szCs w:val="28"/>
              </w:rPr>
            </w:pPr>
            <w:r>
              <w:rPr>
                <w:rFonts w:hint="eastAsia" w:ascii="仿宋" w:hAnsi="仿宋" w:eastAsia="仿宋"/>
                <w:kern w:val="0"/>
                <w:sz w:val="28"/>
                <w:szCs w:val="28"/>
              </w:rPr>
              <w:t>专业人员论证意见</w:t>
            </w:r>
          </w:p>
        </w:tc>
        <w:tc>
          <w:tcPr>
            <w:tcW w:w="7925" w:type="dxa"/>
            <w:gridSpan w:val="8"/>
          </w:tcPr>
          <w:p>
            <w:pPr>
              <w:spacing w:line="360" w:lineRule="auto"/>
              <w:rPr>
                <w:rFonts w:ascii="仿宋" w:hAnsi="仿宋" w:eastAsia="仿宋"/>
                <w:kern w:val="0"/>
                <w:sz w:val="24"/>
                <w:szCs w:val="24"/>
                <w:u w:val="single"/>
              </w:rPr>
            </w:pPr>
            <w:r>
              <w:rPr>
                <w:rFonts w:hint="eastAsia" w:ascii="仿宋" w:hAnsi="仿宋" w:eastAsia="仿宋"/>
                <w:kern w:val="0"/>
                <w:sz w:val="24"/>
                <w:szCs w:val="24"/>
                <w:u w:val="single"/>
              </w:rPr>
              <w:t>(</w:t>
            </w:r>
            <w:r>
              <w:rPr>
                <w:rFonts w:hint="eastAsia" w:ascii="仿宋" w:hAnsi="仿宋" w:eastAsia="仿宋" w:cs="宋体"/>
                <w:i/>
                <w:iCs/>
                <w:kern w:val="0"/>
                <w:sz w:val="24"/>
                <w:szCs w:val="24"/>
                <w:u w:val="single"/>
              </w:rPr>
              <w:t>专业人员论证意见应当完整、清晰和明确的表达从唯一供应商处采购的理由</w:t>
            </w:r>
            <w:r>
              <w:rPr>
                <w:rFonts w:hint="eastAsia" w:ascii="仿宋" w:hAnsi="仿宋" w:eastAsia="仿宋"/>
                <w:kern w:val="0"/>
                <w:sz w:val="24"/>
                <w:szCs w:val="24"/>
                <w:u w:val="single"/>
              </w:rPr>
              <w:t>)</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仿宋" w:hAnsi="仿宋" w:eastAsia="仿宋"/>
                <w:kern w:val="0"/>
                <w:sz w:val="24"/>
                <w:szCs w:val="24"/>
              </w:rPr>
            </w:pPr>
            <w:r>
              <w:rPr>
                <w:rFonts w:hint="eastAsia" w:ascii="仿宋" w:hAnsi="仿宋" w:eastAsia="仿宋"/>
                <w:kern w:val="0"/>
                <w:sz w:val="24"/>
                <w:szCs w:val="24"/>
              </w:rPr>
              <w:t>本项目结合出版题材属性、政治审核要求、成果报送层级、专属渠道资源及项目紧急工期等条件，经专业研判，本次出版服务必须由人民日报出版社有限责任公司承接，无其他机构可替代，具体论证如下：</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kern w:val="0"/>
                <w:sz w:val="24"/>
                <w:szCs w:val="24"/>
              </w:rPr>
            </w:pPr>
            <w:r>
              <w:rPr>
                <w:rFonts w:hint="eastAsia" w:ascii="仿宋" w:hAnsi="仿宋" w:eastAsia="仿宋"/>
                <w:kern w:val="0"/>
                <w:sz w:val="24"/>
                <w:szCs w:val="24"/>
              </w:rPr>
              <w:t>一、选用人民日报出版社的必要性论证</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仿宋" w:hAnsi="仿宋" w:eastAsia="仿宋"/>
                <w:kern w:val="0"/>
                <w:sz w:val="24"/>
                <w:szCs w:val="24"/>
              </w:rPr>
            </w:pPr>
            <w:r>
              <w:rPr>
                <w:rFonts w:hint="eastAsia" w:ascii="仿宋" w:hAnsi="仿宋" w:eastAsia="仿宋"/>
                <w:kern w:val="0"/>
                <w:sz w:val="24"/>
                <w:szCs w:val="24"/>
              </w:rPr>
              <w:t>本项目为文化润疆、浙疆协作、铸牢中华民族共同体意识专项重大主题出版项目，政治性强、题材特殊、成果层级高、报送渠道专属，基于合规性、权威性、安全性和时效性要求，必须选用人民日报出版社提供服务，选用该供应商具备不可替代的必要性。</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仿宋" w:hAnsi="仿宋" w:eastAsia="仿宋"/>
                <w:kern w:val="0"/>
                <w:sz w:val="24"/>
                <w:szCs w:val="24"/>
              </w:rPr>
            </w:pPr>
            <w:r>
              <w:rPr>
                <w:rFonts w:hint="eastAsia" w:ascii="仿宋" w:hAnsi="仿宋" w:eastAsia="仿宋"/>
                <w:kern w:val="0"/>
                <w:sz w:val="24"/>
                <w:szCs w:val="24"/>
              </w:rPr>
              <w:t>第一，从政治合规管控角度，必须选用具备中央级重大题材出版资质的机构。本专著属于意识形态重点出版物，涉及边疆民族工作、文化润疆、共同体建设等特殊题材，内容政治审核、政策把控、导向把关标准极高，存在严格的出版准入门槛。只有人民日报出版社具备中央级权威编审体系和专项题材出版资质，且有专门涉疆内容编辑组和审核团队，能够严格落实意识形态工作要求，确保出版物政治正确、内容合规、导向安全，普通出版机构不具备相应审核能力和风控资质，无法满足本项目合规底线要求。</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仿宋" w:hAnsi="仿宋" w:eastAsia="仿宋"/>
                <w:kern w:val="0"/>
                <w:sz w:val="24"/>
                <w:szCs w:val="24"/>
              </w:rPr>
            </w:pPr>
            <w:r>
              <w:rPr>
                <w:rFonts w:hint="eastAsia" w:ascii="仿宋" w:hAnsi="仿宋" w:eastAsia="仿宋"/>
                <w:kern w:val="0"/>
                <w:sz w:val="24"/>
                <w:szCs w:val="24"/>
              </w:rPr>
              <w:t>第二，从成果层级与公信力角度，甲方要求必须选用国家级权威出版平台。本专著为浙衢对口援疆标志性官方文化成果，代表地方援疆工作成效，用于上级主管部门报送、疆内系统推广和主流媒体宣传。成果的权威性、公信力、示范价值直接依托出版平台层级决定，仅人民日报出版社的中央级出版身份可匹配本项目成果定位，保障成果具备官方认可度和推广价值，其他地方出版社、普通社科出版社均无法达到同等权威层级。</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仿宋" w:hAnsi="仿宋" w:eastAsia="仿宋"/>
                <w:kern w:val="0"/>
                <w:sz w:val="24"/>
                <w:szCs w:val="24"/>
              </w:rPr>
            </w:pPr>
            <w:r>
              <w:rPr>
                <w:rFonts w:hint="eastAsia" w:ascii="仿宋" w:hAnsi="仿宋" w:eastAsia="仿宋"/>
                <w:kern w:val="0"/>
                <w:sz w:val="24"/>
                <w:szCs w:val="24"/>
              </w:rPr>
              <w:t>第三，从成果报送传播落地角度，必须选用拥有中央专属渠道的机构。本项目成果需直达中央宣传、文旅、援疆主管部门，并实现全国党政系统、边疆文旅宣传体系精准覆盖。人民日报出版社依托中央媒体体系拥有独家专属报送通道和党政、边疆系统发行资源，是保障成果有效落地、上报、推广的唯一适配平台，其他出版单位无对应渠道资源，无法完成本项目成果传播落地要求。</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仿宋" w:hAnsi="仿宋" w:eastAsia="仿宋"/>
                <w:kern w:val="0"/>
                <w:sz w:val="24"/>
                <w:szCs w:val="24"/>
              </w:rPr>
            </w:pPr>
            <w:r>
              <w:rPr>
                <w:rFonts w:hint="eastAsia" w:ascii="仿宋" w:hAnsi="仿宋" w:eastAsia="仿宋"/>
                <w:kern w:val="0"/>
                <w:sz w:val="24"/>
                <w:szCs w:val="24"/>
              </w:rPr>
              <w:t>第四，从项目时限履约角度，必须选用具备极速审批出版能力的机构。本项目工期紧、任务重，需在规定时限内完成选题立项、书号审批、三审三校、正式出版全流程。经多方咨询比对，目前仅有人民日报出版社可满足本项目紧急出版时限要求，能够按期完成全流程履约，保障项目验收闭环。</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kern w:val="0"/>
                <w:sz w:val="24"/>
                <w:szCs w:val="24"/>
              </w:rPr>
            </w:pPr>
            <w:r>
              <w:rPr>
                <w:rFonts w:hint="eastAsia" w:ascii="仿宋" w:hAnsi="仿宋" w:eastAsia="仿宋"/>
                <w:kern w:val="0"/>
                <w:sz w:val="24"/>
                <w:szCs w:val="24"/>
              </w:rPr>
              <w:t>二、供应商唯一性论证</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仿宋" w:hAnsi="仿宋" w:eastAsia="仿宋"/>
                <w:kern w:val="0"/>
                <w:sz w:val="24"/>
                <w:szCs w:val="24"/>
              </w:rPr>
            </w:pPr>
            <w:r>
              <w:rPr>
                <w:rFonts w:hint="eastAsia" w:ascii="仿宋" w:hAnsi="仿宋" w:eastAsia="仿宋"/>
                <w:kern w:val="0"/>
                <w:sz w:val="24"/>
                <w:szCs w:val="24"/>
              </w:rPr>
              <w:t>人民日报出版社有限责任公司是人民日报社直属中央级专业出版机构，长期深耕党政宣传、民族文化、边疆建设、重大理论主题出版领域，是国内极少数具备文化润疆、边疆民族题材专项编审资质、中央级成果报送渠道和国家级权威出版公信力的出版平台。综合项目政治门槛、资质要求、专属资源、成果层级、时效条件，市场无其他同类可替代供应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仿宋" w:hAnsi="仿宋" w:eastAsia="仿宋"/>
                <w:kern w:val="0"/>
                <w:sz w:val="24"/>
                <w:szCs w:val="24"/>
              </w:rPr>
            </w:pPr>
            <w:r>
              <w:rPr>
                <w:rFonts w:hint="eastAsia" w:ascii="仿宋" w:hAnsi="仿宋" w:eastAsia="仿宋"/>
                <w:kern w:val="0"/>
                <w:sz w:val="24"/>
                <w:szCs w:val="24"/>
              </w:rPr>
              <w:t>综上，本次出版服务在资质合规、权威背书、渠道资源、时效履约方面均对人民日报出版社存在唯一指向性依赖，符合单一来源采购法定情形，建议本项目采用单一来源采购方式，向人民日报出版社有限责任公司采购本次出版服务。</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kern w:val="0"/>
                <w:sz w:val="24"/>
                <w:szCs w:val="24"/>
              </w:rPr>
            </w:pPr>
            <w:r>
              <w:rPr>
                <w:rFonts w:hint="eastAsia" w:ascii="仿宋" w:hAnsi="仿宋" w:eastAsia="仿宋"/>
                <w:kern w:val="0"/>
                <w:sz w:val="24"/>
                <w:szCs w:val="24"/>
              </w:rPr>
              <w:t xml:space="preserve">                                </w:t>
            </w:r>
            <w:r>
              <w:rPr>
                <w:rFonts w:hint="eastAsia" w:ascii="仿宋" w:hAnsi="仿宋" w:eastAsia="仿宋"/>
                <w:kern w:val="0"/>
                <w:sz w:val="24"/>
                <w:szCs w:val="24"/>
                <w:lang w:val="en-US" w:eastAsia="zh-CN"/>
              </w:rPr>
              <w:t xml:space="preserve">                </w:t>
            </w:r>
            <w:bookmarkStart w:id="2" w:name="_GoBack"/>
            <w:bookmarkEnd w:id="2"/>
            <w:r>
              <w:rPr>
                <w:rFonts w:hint="eastAsia" w:ascii="仿宋" w:hAnsi="仿宋" w:eastAsia="仿宋"/>
                <w:kern w:val="0"/>
                <w:sz w:val="24"/>
                <w:szCs w:val="24"/>
              </w:rPr>
              <w:t>组长：沈小龙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jc w:val="center"/>
        </w:trPr>
        <w:tc>
          <w:tcPr>
            <w:tcW w:w="799" w:type="dxa"/>
            <w:vMerge w:val="restart"/>
            <w:vAlign w:val="center"/>
          </w:tcPr>
          <w:p>
            <w:pPr>
              <w:spacing w:line="360" w:lineRule="auto"/>
              <w:jc w:val="center"/>
              <w:rPr>
                <w:rFonts w:ascii="仿宋" w:hAnsi="仿宋" w:eastAsia="仿宋"/>
                <w:kern w:val="0"/>
                <w:sz w:val="28"/>
                <w:szCs w:val="28"/>
              </w:rPr>
            </w:pPr>
            <w:r>
              <w:rPr>
                <w:rFonts w:hint="eastAsia" w:ascii="仿宋" w:hAnsi="仿宋" w:eastAsia="仿宋"/>
                <w:kern w:val="0"/>
                <w:sz w:val="28"/>
                <w:szCs w:val="28"/>
              </w:rPr>
              <w:t>专业人员信息</w:t>
            </w:r>
          </w:p>
        </w:tc>
        <w:tc>
          <w:tcPr>
            <w:tcW w:w="1027" w:type="dxa"/>
            <w:vAlign w:val="center"/>
          </w:tcPr>
          <w:p>
            <w:pPr>
              <w:spacing w:line="360" w:lineRule="auto"/>
              <w:jc w:val="center"/>
              <w:rPr>
                <w:rFonts w:ascii="仿宋" w:hAnsi="仿宋" w:eastAsia="仿宋" w:cs="仿宋"/>
                <w:kern w:val="0"/>
                <w:sz w:val="24"/>
                <w:szCs w:val="24"/>
              </w:rPr>
            </w:pPr>
            <w:r>
              <w:rPr>
                <w:rFonts w:hint="eastAsia" w:ascii="仿宋" w:hAnsi="仿宋" w:eastAsia="仿宋" w:cs="仿宋"/>
                <w:sz w:val="24"/>
                <w:szCs w:val="24"/>
              </w:rPr>
              <w:t>姓名</w:t>
            </w:r>
          </w:p>
        </w:tc>
        <w:tc>
          <w:tcPr>
            <w:tcW w:w="1451" w:type="dxa"/>
            <w:gridSpan w:val="2"/>
            <w:vAlign w:val="center"/>
          </w:tcPr>
          <w:p>
            <w:pPr>
              <w:spacing w:line="360" w:lineRule="auto"/>
              <w:jc w:val="center"/>
              <w:rPr>
                <w:rFonts w:ascii="仿宋" w:hAnsi="仿宋" w:eastAsia="仿宋" w:cs="仿宋"/>
                <w:kern w:val="0"/>
                <w:sz w:val="24"/>
                <w:szCs w:val="24"/>
              </w:rPr>
            </w:pPr>
            <w:r>
              <w:rPr>
                <w:rFonts w:hint="eastAsia" w:ascii="仿宋" w:hAnsi="仿宋" w:eastAsia="仿宋" w:cs="仿宋"/>
                <w:sz w:val="24"/>
                <w:szCs w:val="24"/>
              </w:rPr>
              <w:t>专业</w:t>
            </w:r>
          </w:p>
        </w:tc>
        <w:tc>
          <w:tcPr>
            <w:tcW w:w="1272" w:type="dxa"/>
            <w:vAlign w:val="center"/>
          </w:tcPr>
          <w:p>
            <w:pPr>
              <w:spacing w:line="360" w:lineRule="auto"/>
              <w:jc w:val="center"/>
              <w:rPr>
                <w:rFonts w:ascii="仿宋" w:hAnsi="仿宋" w:eastAsia="仿宋" w:cs="仿宋"/>
                <w:kern w:val="0"/>
                <w:sz w:val="24"/>
                <w:szCs w:val="24"/>
              </w:rPr>
            </w:pPr>
            <w:r>
              <w:rPr>
                <w:rFonts w:hint="eastAsia" w:ascii="仿宋" w:hAnsi="仿宋" w:eastAsia="仿宋" w:cs="仿宋"/>
                <w:sz w:val="24"/>
                <w:szCs w:val="24"/>
              </w:rPr>
              <w:t>职称</w:t>
            </w:r>
          </w:p>
        </w:tc>
        <w:tc>
          <w:tcPr>
            <w:tcW w:w="1606" w:type="dxa"/>
            <w:vAlign w:val="center"/>
          </w:tcPr>
          <w:p>
            <w:pPr>
              <w:spacing w:line="360" w:lineRule="auto"/>
              <w:jc w:val="center"/>
              <w:rPr>
                <w:rFonts w:ascii="仿宋" w:hAnsi="仿宋" w:eastAsia="仿宋" w:cs="仿宋"/>
                <w:kern w:val="0"/>
                <w:sz w:val="24"/>
                <w:szCs w:val="24"/>
              </w:rPr>
            </w:pPr>
            <w:r>
              <w:rPr>
                <w:rFonts w:hint="eastAsia" w:ascii="仿宋" w:hAnsi="仿宋" w:eastAsia="仿宋" w:cs="仿宋"/>
                <w:sz w:val="24"/>
                <w:szCs w:val="24"/>
              </w:rPr>
              <w:t>工作单位</w:t>
            </w:r>
          </w:p>
        </w:tc>
        <w:tc>
          <w:tcPr>
            <w:tcW w:w="1282" w:type="dxa"/>
            <w:gridSpan w:val="2"/>
            <w:vAlign w:val="center"/>
          </w:tcPr>
          <w:p>
            <w:pPr>
              <w:spacing w:line="360" w:lineRule="auto"/>
              <w:jc w:val="center"/>
              <w:rPr>
                <w:rFonts w:ascii="仿宋" w:hAnsi="仿宋" w:eastAsia="仿宋" w:cs="仿宋"/>
                <w:kern w:val="0"/>
                <w:sz w:val="24"/>
                <w:szCs w:val="24"/>
              </w:rPr>
            </w:pPr>
            <w:r>
              <w:rPr>
                <w:rFonts w:hint="eastAsia" w:ascii="仿宋" w:hAnsi="仿宋" w:eastAsia="仿宋" w:cs="仿宋"/>
                <w:sz w:val="24"/>
                <w:szCs w:val="24"/>
              </w:rPr>
              <w:t>联系电话</w:t>
            </w:r>
          </w:p>
        </w:tc>
        <w:tc>
          <w:tcPr>
            <w:tcW w:w="1287" w:type="dxa"/>
            <w:vAlign w:val="center"/>
          </w:tcPr>
          <w:p>
            <w:pPr>
              <w:spacing w:line="360" w:lineRule="auto"/>
              <w:jc w:val="center"/>
              <w:rPr>
                <w:rFonts w:ascii="仿宋" w:hAnsi="仿宋" w:eastAsia="仿宋" w:cs="仿宋"/>
                <w:kern w:val="0"/>
                <w:sz w:val="24"/>
                <w:szCs w:val="24"/>
              </w:rPr>
            </w:pPr>
            <w:r>
              <w:rPr>
                <w:rFonts w:hint="eastAsia" w:ascii="仿宋" w:hAnsi="仿宋" w:eastAsia="仿宋" w:cs="仿宋"/>
                <w:sz w:val="24"/>
                <w:szCs w:val="24"/>
              </w:rPr>
              <w:t>专家签名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799" w:type="dxa"/>
            <w:vMerge w:val="continue"/>
          </w:tcPr>
          <w:p>
            <w:pPr>
              <w:spacing w:line="360" w:lineRule="auto"/>
              <w:rPr>
                <w:rFonts w:ascii="仿宋" w:hAnsi="仿宋" w:eastAsia="仿宋"/>
                <w:kern w:val="0"/>
                <w:sz w:val="28"/>
                <w:szCs w:val="28"/>
              </w:rPr>
            </w:pPr>
          </w:p>
        </w:tc>
        <w:tc>
          <w:tcPr>
            <w:tcW w:w="1027" w:type="dxa"/>
            <w:vAlign w:val="center"/>
          </w:tcPr>
          <w:p>
            <w:pPr>
              <w:spacing w:line="360" w:lineRule="auto"/>
              <w:jc w:val="center"/>
            </w:pPr>
            <w:r>
              <w:rPr>
                <w:rFonts w:hint="eastAsia"/>
              </w:rPr>
              <w:t>沈小龙</w:t>
            </w:r>
          </w:p>
        </w:tc>
        <w:tc>
          <w:tcPr>
            <w:tcW w:w="1451" w:type="dxa"/>
            <w:gridSpan w:val="2"/>
            <w:vAlign w:val="center"/>
          </w:tcPr>
          <w:p>
            <w:pPr>
              <w:spacing w:line="360" w:lineRule="auto"/>
              <w:jc w:val="center"/>
            </w:pPr>
            <w:r>
              <w:rPr>
                <w:rFonts w:hint="eastAsia"/>
              </w:rPr>
              <w:t>哲学</w:t>
            </w:r>
          </w:p>
        </w:tc>
        <w:tc>
          <w:tcPr>
            <w:tcW w:w="1272" w:type="dxa"/>
            <w:vAlign w:val="center"/>
          </w:tcPr>
          <w:p>
            <w:pPr>
              <w:spacing w:line="360" w:lineRule="auto"/>
              <w:jc w:val="center"/>
            </w:pPr>
            <w:r>
              <w:rPr>
                <w:rFonts w:hint="eastAsia"/>
              </w:rPr>
              <w:t>副教授</w:t>
            </w:r>
          </w:p>
        </w:tc>
        <w:tc>
          <w:tcPr>
            <w:tcW w:w="1606" w:type="dxa"/>
            <w:vAlign w:val="center"/>
          </w:tcPr>
          <w:p>
            <w:pPr>
              <w:spacing w:line="360" w:lineRule="auto"/>
              <w:jc w:val="center"/>
            </w:pPr>
            <w:r>
              <w:rPr>
                <w:rFonts w:hint="eastAsia"/>
              </w:rPr>
              <w:t>衢州学院</w:t>
            </w:r>
          </w:p>
        </w:tc>
        <w:tc>
          <w:tcPr>
            <w:tcW w:w="1282" w:type="dxa"/>
            <w:gridSpan w:val="2"/>
            <w:vAlign w:val="center"/>
          </w:tcPr>
          <w:p>
            <w:pPr>
              <w:spacing w:line="360" w:lineRule="auto"/>
              <w:jc w:val="center"/>
            </w:pPr>
            <w:r>
              <w:rPr>
                <w:rFonts w:hint="eastAsia"/>
                <w:sz w:val="18"/>
                <w:szCs w:val="18"/>
              </w:rPr>
              <w:t>13615700201</w:t>
            </w:r>
          </w:p>
        </w:tc>
        <w:tc>
          <w:tcPr>
            <w:tcW w:w="1287" w:type="dxa"/>
            <w:vAlign w:val="center"/>
          </w:tcPr>
          <w:p>
            <w:pPr>
              <w:spacing w:line="360" w:lineRule="auto"/>
              <w:jc w:val="center"/>
            </w:pPr>
            <w:r>
              <w:drawing>
                <wp:inline distT="0" distB="0" distL="0" distR="0">
                  <wp:extent cx="680085" cy="327025"/>
                  <wp:effectExtent l="0" t="0" r="0" b="0"/>
                  <wp:docPr id="2132443195" name="图片 1" descr="图片包含 游戏机, 钟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443195" name="图片 1" descr="图片包含 游戏机, 钟表&#10;&#10;AI 生成的内容可能不正确。"/>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680085" cy="32702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799" w:type="dxa"/>
            <w:vMerge w:val="continue"/>
          </w:tcPr>
          <w:p>
            <w:pPr>
              <w:spacing w:line="360" w:lineRule="auto"/>
              <w:rPr>
                <w:rFonts w:ascii="仿宋" w:hAnsi="仿宋" w:eastAsia="仿宋"/>
                <w:kern w:val="0"/>
                <w:sz w:val="28"/>
                <w:szCs w:val="28"/>
              </w:rPr>
            </w:pPr>
          </w:p>
        </w:tc>
        <w:tc>
          <w:tcPr>
            <w:tcW w:w="1027" w:type="dxa"/>
            <w:vAlign w:val="center"/>
          </w:tcPr>
          <w:p>
            <w:pPr>
              <w:spacing w:line="360" w:lineRule="auto"/>
              <w:jc w:val="center"/>
            </w:pPr>
            <w:r>
              <w:rPr>
                <w:rFonts w:hint="eastAsia"/>
              </w:rPr>
              <w:t>卢晓文</w:t>
            </w:r>
          </w:p>
        </w:tc>
        <w:tc>
          <w:tcPr>
            <w:tcW w:w="1451" w:type="dxa"/>
            <w:gridSpan w:val="2"/>
            <w:vAlign w:val="center"/>
          </w:tcPr>
          <w:p>
            <w:pPr>
              <w:spacing w:line="360" w:lineRule="auto"/>
              <w:jc w:val="center"/>
            </w:pPr>
            <w:r>
              <w:rPr>
                <w:rFonts w:hint="eastAsia"/>
              </w:rPr>
              <w:t>体育学</w:t>
            </w:r>
          </w:p>
        </w:tc>
        <w:tc>
          <w:tcPr>
            <w:tcW w:w="1272" w:type="dxa"/>
            <w:vAlign w:val="center"/>
          </w:tcPr>
          <w:p>
            <w:pPr>
              <w:spacing w:line="360" w:lineRule="auto"/>
              <w:jc w:val="center"/>
            </w:pPr>
            <w:r>
              <w:rPr>
                <w:rFonts w:hint="eastAsia"/>
              </w:rPr>
              <w:t>教授</w:t>
            </w:r>
          </w:p>
        </w:tc>
        <w:tc>
          <w:tcPr>
            <w:tcW w:w="1606" w:type="dxa"/>
            <w:vAlign w:val="center"/>
          </w:tcPr>
          <w:p>
            <w:pPr>
              <w:spacing w:line="360" w:lineRule="auto"/>
              <w:jc w:val="center"/>
            </w:pPr>
            <w:bookmarkStart w:id="1" w:name="OLE_LINK8"/>
            <w:r>
              <w:rPr>
                <w:rFonts w:hint="eastAsia"/>
              </w:rPr>
              <w:t>衢州学院</w:t>
            </w:r>
            <w:bookmarkEnd w:id="1"/>
          </w:p>
        </w:tc>
        <w:tc>
          <w:tcPr>
            <w:tcW w:w="1282" w:type="dxa"/>
            <w:gridSpan w:val="2"/>
            <w:vAlign w:val="center"/>
          </w:tcPr>
          <w:p>
            <w:pPr>
              <w:spacing w:line="360" w:lineRule="auto"/>
              <w:jc w:val="center"/>
              <w:rPr>
                <w:sz w:val="18"/>
                <w:szCs w:val="18"/>
              </w:rPr>
            </w:pPr>
            <w:r>
              <w:rPr>
                <w:rFonts w:hint="eastAsia"/>
                <w:sz w:val="18"/>
                <w:szCs w:val="18"/>
              </w:rPr>
              <w:t>13587105180</w:t>
            </w:r>
          </w:p>
        </w:tc>
        <w:tc>
          <w:tcPr>
            <w:tcW w:w="1287" w:type="dxa"/>
            <w:vAlign w:val="center"/>
          </w:tcPr>
          <w:p>
            <w:pPr>
              <w:spacing w:line="360" w:lineRule="auto"/>
              <w:jc w:val="center"/>
            </w:pPr>
            <w:r>
              <w:drawing>
                <wp:inline distT="0" distB="0" distL="0" distR="0">
                  <wp:extent cx="427355" cy="581660"/>
                  <wp:effectExtent l="76200" t="0" r="67945" b="0"/>
                  <wp:docPr id="819575042" name="图片 2" descr="图片包含 形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75042" name="图片 2" descr="图片包含 形状&#10;&#10;AI 生成的内容可能不正确。"/>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452908" cy="616141"/>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atLeast"/>
          <w:jc w:val="center"/>
        </w:trPr>
        <w:tc>
          <w:tcPr>
            <w:tcW w:w="799" w:type="dxa"/>
            <w:vMerge w:val="continue"/>
          </w:tcPr>
          <w:p>
            <w:pPr>
              <w:spacing w:line="360" w:lineRule="auto"/>
              <w:rPr>
                <w:rFonts w:ascii="仿宋" w:hAnsi="仿宋" w:eastAsia="仿宋"/>
                <w:kern w:val="0"/>
                <w:sz w:val="28"/>
                <w:szCs w:val="28"/>
              </w:rPr>
            </w:pPr>
          </w:p>
        </w:tc>
        <w:tc>
          <w:tcPr>
            <w:tcW w:w="1027" w:type="dxa"/>
            <w:vAlign w:val="center"/>
          </w:tcPr>
          <w:p>
            <w:pPr>
              <w:spacing w:line="360" w:lineRule="auto"/>
              <w:jc w:val="center"/>
            </w:pPr>
            <w:r>
              <w:rPr>
                <w:rFonts w:hint="eastAsia"/>
              </w:rPr>
              <w:t>卢文杰</w:t>
            </w:r>
          </w:p>
        </w:tc>
        <w:tc>
          <w:tcPr>
            <w:tcW w:w="1451" w:type="dxa"/>
            <w:gridSpan w:val="2"/>
            <w:vAlign w:val="center"/>
          </w:tcPr>
          <w:p>
            <w:pPr>
              <w:spacing w:line="360" w:lineRule="auto"/>
              <w:jc w:val="center"/>
            </w:pPr>
            <w:r>
              <w:rPr>
                <w:rFonts w:hint="eastAsia"/>
              </w:rPr>
              <w:t>体育学</w:t>
            </w:r>
          </w:p>
        </w:tc>
        <w:tc>
          <w:tcPr>
            <w:tcW w:w="1272" w:type="dxa"/>
            <w:vAlign w:val="center"/>
          </w:tcPr>
          <w:p>
            <w:pPr>
              <w:spacing w:line="360" w:lineRule="auto"/>
              <w:jc w:val="center"/>
            </w:pPr>
            <w:r>
              <w:rPr>
                <w:rFonts w:hint="eastAsia"/>
              </w:rPr>
              <w:t>副教授</w:t>
            </w:r>
          </w:p>
        </w:tc>
        <w:tc>
          <w:tcPr>
            <w:tcW w:w="1606" w:type="dxa"/>
            <w:vAlign w:val="center"/>
          </w:tcPr>
          <w:p>
            <w:pPr>
              <w:spacing w:line="360" w:lineRule="auto"/>
              <w:jc w:val="center"/>
            </w:pPr>
            <w:r>
              <w:rPr>
                <w:rFonts w:hint="eastAsia"/>
              </w:rPr>
              <w:t>衢州学院</w:t>
            </w:r>
          </w:p>
        </w:tc>
        <w:tc>
          <w:tcPr>
            <w:tcW w:w="1282" w:type="dxa"/>
            <w:gridSpan w:val="2"/>
            <w:vAlign w:val="center"/>
          </w:tcPr>
          <w:p>
            <w:pPr>
              <w:spacing w:line="360" w:lineRule="auto"/>
              <w:jc w:val="center"/>
            </w:pPr>
            <w:r>
              <w:rPr>
                <w:rFonts w:hint="eastAsia"/>
                <w:sz w:val="18"/>
                <w:szCs w:val="18"/>
              </w:rPr>
              <w:t>18868070121</w:t>
            </w:r>
          </w:p>
        </w:tc>
        <w:tc>
          <w:tcPr>
            <w:tcW w:w="1287" w:type="dxa"/>
            <w:vAlign w:val="center"/>
          </w:tcPr>
          <w:p>
            <w:pPr>
              <w:spacing w:line="360" w:lineRule="auto"/>
              <w:jc w:val="center"/>
            </w:pPr>
            <w:r>
              <w:drawing>
                <wp:inline distT="0" distB="0" distL="0" distR="0">
                  <wp:extent cx="680085" cy="509905"/>
                  <wp:effectExtent l="0" t="0" r="0" b="0"/>
                  <wp:docPr id="2720950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95062" name="图片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0085" cy="509905"/>
                          </a:xfrm>
                          <a:prstGeom prst="rect">
                            <a:avLst/>
                          </a:prstGeom>
                        </pic:spPr>
                      </pic:pic>
                    </a:graphicData>
                  </a:graphic>
                </wp:inline>
              </w:drawing>
            </w:r>
          </w:p>
        </w:tc>
      </w:tr>
    </w:tbl>
    <w:p>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776DF"/>
    <w:rsid w:val="000146B8"/>
    <w:rsid w:val="00040FCC"/>
    <w:rsid w:val="000E2572"/>
    <w:rsid w:val="00135674"/>
    <w:rsid w:val="001446BB"/>
    <w:rsid w:val="001F594B"/>
    <w:rsid w:val="00207C7E"/>
    <w:rsid w:val="00247439"/>
    <w:rsid w:val="002776DF"/>
    <w:rsid w:val="002D7063"/>
    <w:rsid w:val="003B2929"/>
    <w:rsid w:val="003D2245"/>
    <w:rsid w:val="00440A0F"/>
    <w:rsid w:val="00493C37"/>
    <w:rsid w:val="004A5E37"/>
    <w:rsid w:val="004E4DF7"/>
    <w:rsid w:val="00511FFB"/>
    <w:rsid w:val="005859E4"/>
    <w:rsid w:val="00654952"/>
    <w:rsid w:val="00783EE0"/>
    <w:rsid w:val="0086448B"/>
    <w:rsid w:val="0098634B"/>
    <w:rsid w:val="009B3E1D"/>
    <w:rsid w:val="00B12CF9"/>
    <w:rsid w:val="00B61636"/>
    <w:rsid w:val="00B939C5"/>
    <w:rsid w:val="00C768C0"/>
    <w:rsid w:val="00D80AA7"/>
    <w:rsid w:val="00E34B7C"/>
    <w:rsid w:val="00F24EBD"/>
    <w:rsid w:val="112F6293"/>
    <w:rsid w:val="221824EF"/>
    <w:rsid w:val="42A43115"/>
    <w:rsid w:val="73A22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5">
    <w:name w:val="p1"/>
    <w:basedOn w:val="1"/>
    <w:uiPriority w:val="0"/>
    <w:pPr>
      <w:widowControl/>
      <w:spacing w:after="0" w:line="240" w:lineRule="auto"/>
      <w:jc w:val="left"/>
    </w:pPr>
    <w:rPr>
      <w:rFonts w:ascii="Helvetica" w:hAnsi="Helvetica" w:cs="宋体"/>
      <w:color w:val="000000"/>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232</Words>
  <Characters>1325</Characters>
  <Lines>11</Lines>
  <Paragraphs>3</Paragraphs>
  <TotalTime>84</TotalTime>
  <ScaleCrop>false</ScaleCrop>
  <LinksUpToDate>false</LinksUpToDate>
  <CharactersWithSpaces>1554</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2021-03-17T05:50:00Z</dcterms:created>
  <dc:creator>Administrator</dc:creator>
  <cp:lastModifiedBy>妮可</cp:lastModifiedBy>
  <dcterms:modified xsi:type="dcterms:W3CDTF">2026-09-21T02:25:45Z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