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48"/>
          <w:szCs w:val="48"/>
        </w:rPr>
      </w:pPr>
      <w:r>
        <w:rPr>
          <w:rFonts w:hint="eastAsia" w:ascii="宋体" w:hAnsi="宋体"/>
          <w:b/>
          <w:color w:val="000000"/>
          <w:sz w:val="48"/>
          <w:szCs w:val="48"/>
        </w:rPr>
        <w:t>衢州学院</w:t>
      </w:r>
    </w:p>
    <w:p>
      <w:pPr>
        <w:widowControl/>
        <w:jc w:val="left"/>
        <w:rPr>
          <w:rFonts w:ascii="宋体" w:hAnsi="宋体" w:cs="宋体"/>
          <w:color w:val="000000"/>
          <w:kern w:val="0"/>
          <w:sz w:val="24"/>
        </w:rPr>
      </w:pPr>
    </w:p>
    <w:p>
      <w:pPr>
        <w:spacing w:line="500" w:lineRule="exact"/>
        <w:jc w:val="center"/>
        <w:rPr>
          <w:rFonts w:ascii="宋体" w:hAnsi="宋体"/>
          <w:b/>
          <w:color w:val="000000"/>
          <w:sz w:val="48"/>
          <w:szCs w:val="48"/>
        </w:rPr>
      </w:pPr>
    </w:p>
    <w:p>
      <w:pPr>
        <w:spacing w:line="500" w:lineRule="exact"/>
        <w:jc w:val="center"/>
        <w:rPr>
          <w:b/>
          <w:color w:val="000000"/>
          <w:sz w:val="48"/>
          <w:szCs w:val="48"/>
        </w:rPr>
      </w:pPr>
      <w:r>
        <w:rPr>
          <w:rFonts w:hint="eastAsia"/>
          <w:b/>
          <w:color w:val="000000"/>
          <w:sz w:val="48"/>
          <w:szCs w:val="48"/>
        </w:rPr>
        <w:t>机器人基础训练实验设备</w:t>
      </w:r>
    </w:p>
    <w:p>
      <w:pPr>
        <w:jc w:val="center"/>
        <w:rPr>
          <w:rFonts w:ascii="宋体" w:hAnsi="宋体"/>
          <w:b/>
          <w:bCs/>
          <w:color w:val="000000"/>
          <w:sz w:val="28"/>
          <w:szCs w:val="28"/>
        </w:rPr>
      </w:pPr>
      <w:r>
        <w:rPr>
          <w:rFonts w:hint="eastAsia" w:ascii="宋体" w:hAnsi="宋体"/>
          <w:b/>
          <w:bCs/>
          <w:color w:val="000000"/>
          <w:sz w:val="28"/>
          <w:szCs w:val="28"/>
        </w:rPr>
        <w:t>（机械工程学院）</w:t>
      </w:r>
    </w:p>
    <w:p>
      <w:pPr>
        <w:spacing w:line="1200" w:lineRule="exact"/>
        <w:rPr>
          <w:rFonts w:ascii="宋体" w:hAnsi="宋体"/>
          <w:b/>
          <w:bCs/>
          <w:color w:val="000000"/>
          <w:sz w:val="72"/>
        </w:rPr>
      </w:pPr>
    </w:p>
    <w:p>
      <w:pPr>
        <w:spacing w:line="1200" w:lineRule="exact"/>
        <w:jc w:val="center"/>
        <w:rPr>
          <w:rFonts w:ascii="宋体" w:hAnsi="宋体"/>
          <w:b/>
          <w:bCs/>
          <w:color w:val="000000"/>
          <w:sz w:val="72"/>
        </w:rPr>
      </w:pPr>
      <w:r>
        <w:rPr>
          <w:rFonts w:hint="eastAsia" w:ascii="宋体" w:hAnsi="宋体"/>
          <w:b/>
          <w:bCs/>
          <w:color w:val="000000"/>
          <w:sz w:val="72"/>
        </w:rPr>
        <w:t>公</w:t>
      </w:r>
    </w:p>
    <w:p>
      <w:pPr>
        <w:spacing w:line="1200" w:lineRule="exact"/>
        <w:jc w:val="center"/>
        <w:rPr>
          <w:rFonts w:ascii="宋体" w:hAnsi="宋体"/>
          <w:b/>
          <w:bCs/>
          <w:color w:val="000000"/>
          <w:sz w:val="72"/>
        </w:rPr>
      </w:pPr>
      <w:r>
        <w:rPr>
          <w:rFonts w:hint="eastAsia" w:ascii="宋体" w:hAnsi="宋体"/>
          <w:b/>
          <w:bCs/>
          <w:color w:val="000000"/>
          <w:sz w:val="72"/>
        </w:rPr>
        <w:t>开</w:t>
      </w:r>
    </w:p>
    <w:p>
      <w:pPr>
        <w:spacing w:line="1200" w:lineRule="exact"/>
        <w:jc w:val="center"/>
        <w:rPr>
          <w:rFonts w:ascii="宋体" w:hAnsi="宋体"/>
          <w:b/>
          <w:bCs/>
          <w:color w:val="000000"/>
          <w:sz w:val="72"/>
        </w:rPr>
      </w:pPr>
      <w:r>
        <w:rPr>
          <w:rFonts w:hint="eastAsia" w:ascii="宋体" w:hAnsi="宋体"/>
          <w:b/>
          <w:bCs/>
          <w:color w:val="000000"/>
          <w:sz w:val="72"/>
        </w:rPr>
        <w:t>招</w:t>
      </w:r>
    </w:p>
    <w:p>
      <w:pPr>
        <w:spacing w:line="1200" w:lineRule="exact"/>
        <w:jc w:val="center"/>
        <w:rPr>
          <w:rFonts w:ascii="宋体" w:hAnsi="宋体"/>
          <w:b/>
          <w:bCs/>
          <w:color w:val="000000"/>
          <w:sz w:val="72"/>
        </w:rPr>
      </w:pPr>
      <w:r>
        <w:rPr>
          <w:rFonts w:hint="eastAsia" w:ascii="宋体" w:hAnsi="宋体"/>
          <w:b/>
          <w:bCs/>
          <w:color w:val="000000"/>
          <w:sz w:val="72"/>
        </w:rPr>
        <w:t>标</w:t>
      </w:r>
    </w:p>
    <w:p>
      <w:pPr>
        <w:spacing w:line="1200" w:lineRule="exact"/>
        <w:jc w:val="center"/>
        <w:rPr>
          <w:rFonts w:ascii="宋体" w:hAnsi="宋体"/>
          <w:b/>
          <w:bCs/>
          <w:color w:val="000000"/>
          <w:sz w:val="72"/>
        </w:rPr>
      </w:pPr>
      <w:r>
        <w:rPr>
          <w:rFonts w:hint="eastAsia" w:ascii="宋体" w:hAnsi="宋体"/>
          <w:b/>
          <w:bCs/>
          <w:color w:val="000000"/>
          <w:sz w:val="72"/>
        </w:rPr>
        <w:t>文</w:t>
      </w:r>
    </w:p>
    <w:p>
      <w:pPr>
        <w:spacing w:line="1200" w:lineRule="exact"/>
        <w:jc w:val="center"/>
        <w:rPr>
          <w:rFonts w:ascii="宋体" w:hAnsi="宋体"/>
          <w:b/>
          <w:bCs/>
          <w:color w:val="000000"/>
          <w:sz w:val="72"/>
        </w:rPr>
      </w:pPr>
      <w:r>
        <w:rPr>
          <w:rFonts w:hint="eastAsia" w:ascii="宋体" w:hAnsi="宋体"/>
          <w:b/>
          <w:bCs/>
          <w:color w:val="000000"/>
          <w:sz w:val="72"/>
        </w:rPr>
        <w:t>件</w:t>
      </w:r>
    </w:p>
    <w:p>
      <w:pPr>
        <w:spacing w:line="700" w:lineRule="exact"/>
        <w:jc w:val="center"/>
        <w:rPr>
          <w:rFonts w:ascii="宋体" w:hAnsi="宋体"/>
          <w:b/>
          <w:bCs/>
          <w:color w:val="000000"/>
          <w:sz w:val="32"/>
        </w:rPr>
      </w:pPr>
    </w:p>
    <w:p>
      <w:pPr>
        <w:rPr>
          <w:rFonts w:ascii="宋体" w:hAnsi="宋体"/>
          <w:b/>
          <w:bCs/>
          <w:color w:val="000000"/>
          <w:sz w:val="32"/>
        </w:rPr>
      </w:pPr>
    </w:p>
    <w:p>
      <w:pPr>
        <w:jc w:val="center"/>
        <w:rPr>
          <w:rFonts w:ascii="宋体" w:hAnsi="宋体"/>
          <w:b/>
          <w:bCs/>
          <w:color w:val="000000"/>
          <w:sz w:val="32"/>
        </w:rPr>
      </w:pPr>
      <w:r>
        <w:rPr>
          <w:rFonts w:hint="eastAsia" w:ascii="宋体" w:hAnsi="宋体"/>
          <w:b/>
          <w:bCs/>
          <w:color w:val="000000"/>
          <w:sz w:val="32"/>
        </w:rPr>
        <w:t>招标单位：衢州学院</w:t>
      </w:r>
    </w:p>
    <w:p>
      <w:pPr>
        <w:jc w:val="center"/>
        <w:rPr>
          <w:rFonts w:ascii="宋体" w:hAnsi="宋体"/>
          <w:b/>
          <w:bCs/>
          <w:color w:val="000000"/>
          <w:sz w:val="32"/>
        </w:rPr>
      </w:pPr>
      <w:r>
        <w:rPr>
          <w:rFonts w:hint="eastAsia" w:ascii="宋体" w:hAnsi="宋体"/>
          <w:b/>
          <w:bCs/>
          <w:color w:val="000000"/>
          <w:sz w:val="32"/>
        </w:rPr>
        <w:t>2021年4月</w:t>
      </w:r>
    </w:p>
    <w:p>
      <w:pPr>
        <w:pStyle w:val="11"/>
        <w:spacing w:line="360" w:lineRule="auto"/>
        <w:ind w:left="210" w:leftChars="100"/>
        <w:jc w:val="center"/>
        <w:rPr>
          <w:rFonts w:ascii="宋体" w:hAnsi="宋体" w:eastAsia="宋体"/>
          <w:color w:val="000000"/>
        </w:rPr>
      </w:pPr>
    </w:p>
    <w:p>
      <w:pPr>
        <w:pStyle w:val="11"/>
        <w:spacing w:line="360" w:lineRule="auto"/>
        <w:ind w:left="210" w:leftChars="100"/>
        <w:jc w:val="center"/>
        <w:rPr>
          <w:rFonts w:ascii="宋体" w:hAnsi="宋体" w:eastAsia="宋体"/>
          <w:color w:val="000000"/>
          <w:sz w:val="48"/>
        </w:rPr>
      </w:pPr>
      <w:r>
        <w:rPr>
          <w:rFonts w:hint="eastAsia" w:ascii="宋体" w:hAnsi="宋体" w:eastAsia="宋体"/>
          <w:color w:val="000000"/>
        </w:rPr>
        <w:t>目   录</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第一章  招标公告</w:t>
      </w:r>
      <w:r>
        <w:rPr>
          <w:rFonts w:hint="eastAsia" w:ascii="宋体" w:hAnsi="宋体"/>
          <w:color w:val="000000"/>
          <w:sz w:val="32"/>
        </w:rPr>
        <w:t>…………………………………………3</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第二章  投标须知</w:t>
      </w:r>
      <w:r>
        <w:rPr>
          <w:rFonts w:hint="eastAsia" w:ascii="宋体" w:hAnsi="宋体"/>
          <w:color w:val="000000"/>
          <w:sz w:val="32"/>
        </w:rPr>
        <w:t>…………………………………………6</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第三章  采购内容及要求</w:t>
      </w:r>
      <w:r>
        <w:rPr>
          <w:rFonts w:hint="eastAsia" w:ascii="宋体" w:hAnsi="宋体"/>
          <w:color w:val="000000"/>
          <w:sz w:val="32"/>
        </w:rPr>
        <w:t>…………………………………17</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第四章  合同主要条款</w:t>
      </w:r>
      <w:r>
        <w:rPr>
          <w:rFonts w:hint="eastAsia" w:ascii="宋体" w:hAnsi="宋体"/>
          <w:color w:val="000000"/>
          <w:sz w:val="32"/>
        </w:rPr>
        <w:t>……………………………………38</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第五章  评标办法及开标程序</w:t>
      </w:r>
      <w:r>
        <w:rPr>
          <w:rFonts w:hint="eastAsia" w:ascii="宋体" w:hAnsi="宋体"/>
          <w:color w:val="000000"/>
          <w:sz w:val="32"/>
        </w:rPr>
        <w:t>……………………………42</w:t>
      </w:r>
    </w:p>
    <w:p>
      <w:pPr>
        <w:tabs>
          <w:tab w:val="left" w:pos="7200"/>
        </w:tabs>
        <w:rPr>
          <w:rFonts w:ascii="宋体" w:hAnsi="宋体"/>
          <w:bCs/>
          <w:color w:val="000000"/>
          <w:sz w:val="32"/>
        </w:rPr>
      </w:pPr>
    </w:p>
    <w:p>
      <w:pPr>
        <w:rPr>
          <w:rFonts w:ascii="宋体" w:hAnsi="宋体"/>
          <w:color w:val="000000"/>
          <w:sz w:val="28"/>
        </w:rPr>
      </w:pPr>
      <w:r>
        <w:rPr>
          <w:rFonts w:hint="eastAsia" w:ascii="宋体" w:hAnsi="宋体"/>
          <w:bCs/>
          <w:color w:val="000000"/>
          <w:sz w:val="32"/>
        </w:rPr>
        <w:t>第六章  应提交的有关材料格式范例</w:t>
      </w:r>
      <w:r>
        <w:rPr>
          <w:rFonts w:hint="eastAsia" w:ascii="宋体" w:hAnsi="宋体"/>
          <w:color w:val="000000"/>
          <w:sz w:val="32"/>
        </w:rPr>
        <w:t>……………………46</w:t>
      </w: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rPr>
          <w:rFonts w:ascii="宋体" w:hAnsi="宋体"/>
          <w:b/>
          <w:bCs/>
          <w:color w:val="000000"/>
          <w:sz w:val="32"/>
        </w:rPr>
      </w:pPr>
    </w:p>
    <w:p>
      <w:pPr>
        <w:spacing w:line="440" w:lineRule="exact"/>
        <w:jc w:val="center"/>
        <w:rPr>
          <w:rFonts w:ascii="宋体" w:hAnsi="宋体"/>
          <w:b/>
          <w:bCs/>
          <w:color w:val="000000"/>
          <w:sz w:val="32"/>
        </w:rPr>
      </w:pPr>
    </w:p>
    <w:p>
      <w:pPr>
        <w:spacing w:line="440" w:lineRule="exact"/>
        <w:jc w:val="center"/>
        <w:rPr>
          <w:rFonts w:ascii="宋体" w:hAnsi="宋体"/>
          <w:b/>
          <w:bCs/>
          <w:color w:val="000000"/>
          <w:sz w:val="32"/>
        </w:rPr>
      </w:pPr>
      <w:r>
        <w:rPr>
          <w:rFonts w:hint="eastAsia" w:ascii="宋体" w:hAnsi="宋体"/>
          <w:b/>
          <w:bCs/>
          <w:color w:val="000000"/>
          <w:sz w:val="32"/>
        </w:rPr>
        <w:t>第一章  招标公告</w:t>
      </w:r>
    </w:p>
    <w:p>
      <w:pPr>
        <w:spacing w:line="440" w:lineRule="exact"/>
        <w:ind w:firstLine="480" w:firstLineChars="200"/>
        <w:rPr>
          <w:rFonts w:ascii="宋体" w:hAnsi="宋体"/>
          <w:b/>
          <w:color w:val="000000"/>
          <w:sz w:val="24"/>
        </w:rPr>
      </w:pPr>
      <w:r>
        <w:rPr>
          <w:rFonts w:hint="eastAsia" w:ascii="宋体" w:hAnsi="宋体"/>
          <w:bCs/>
          <w:color w:val="000000"/>
          <w:sz w:val="24"/>
        </w:rPr>
        <w:t>根据教学需要，经衢州市财政局审批，现就衢州学院</w:t>
      </w:r>
      <w:r>
        <w:rPr>
          <w:rFonts w:hint="eastAsia" w:ascii="宋体" w:hAnsi="宋体"/>
          <w:b/>
          <w:bCs/>
          <w:color w:val="000000"/>
          <w:sz w:val="24"/>
        </w:rPr>
        <w:t>机器人基础训练实验设备</w:t>
      </w:r>
      <w:r>
        <w:rPr>
          <w:rFonts w:hint="eastAsia" w:ascii="宋体" w:hAnsi="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bCs/>
          <w:color w:val="000000"/>
          <w:sz w:val="24"/>
        </w:rPr>
        <w:t>参与投标。</w:t>
      </w:r>
    </w:p>
    <w:p>
      <w:pPr>
        <w:spacing w:line="440" w:lineRule="exact"/>
        <w:ind w:firstLine="495"/>
        <w:rPr>
          <w:rFonts w:ascii="宋体" w:hAnsi="宋体"/>
          <w:b/>
          <w:color w:val="000000"/>
          <w:sz w:val="24"/>
        </w:rPr>
      </w:pPr>
      <w:r>
        <w:rPr>
          <w:rFonts w:hint="eastAsia" w:ascii="宋体" w:hAnsi="宋体"/>
          <w:b/>
          <w:bCs/>
          <w:color w:val="000000"/>
          <w:sz w:val="24"/>
        </w:rPr>
        <w:t>一、项目编号：</w:t>
      </w:r>
      <w:r>
        <w:rPr>
          <w:rFonts w:hint="eastAsia" w:ascii="宋体" w:hAnsi="宋体"/>
          <w:b/>
          <w:color w:val="000000"/>
          <w:sz w:val="24"/>
        </w:rPr>
        <w:t>衢院招2021-17</w:t>
      </w:r>
    </w:p>
    <w:p>
      <w:pPr>
        <w:spacing w:line="440" w:lineRule="exact"/>
        <w:ind w:firstLine="495"/>
        <w:rPr>
          <w:rFonts w:ascii="宋体" w:hAnsi="宋体"/>
          <w:b/>
          <w:color w:val="000000"/>
          <w:sz w:val="24"/>
        </w:rPr>
      </w:pPr>
      <w:r>
        <w:rPr>
          <w:rFonts w:hint="eastAsia" w:ascii="宋体" w:hAnsi="宋体"/>
          <w:b/>
          <w:color w:val="000000"/>
          <w:szCs w:val="21"/>
        </w:rPr>
        <w:t>二</w:t>
      </w:r>
      <w:r>
        <w:rPr>
          <w:rFonts w:hint="eastAsia" w:ascii="宋体" w:hAnsi="宋体"/>
          <w:b/>
          <w:bCs/>
          <w:color w:val="000000"/>
          <w:sz w:val="24"/>
        </w:rPr>
        <w:t>、项目名称：机器人基础训练实验设备</w:t>
      </w:r>
    </w:p>
    <w:p>
      <w:pPr>
        <w:spacing w:line="440" w:lineRule="exact"/>
        <w:ind w:firstLine="495"/>
        <w:rPr>
          <w:rFonts w:ascii="宋体" w:hAnsi="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项目概况</w:t>
      </w:r>
      <w:r>
        <w:rPr>
          <w:rFonts w:hint="eastAsia" w:ascii="宋体" w:hAnsi="宋体" w:cs="宋体"/>
          <w:b/>
          <w:color w:val="0070C0"/>
          <w:kern w:val="0"/>
          <w:sz w:val="24"/>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1"/>
        <w:gridCol w:w="866"/>
        <w:gridCol w:w="913"/>
        <w:gridCol w:w="2075"/>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仿宋_GB2312"/>
                <w:color w:val="000000"/>
                <w:kern w:val="0"/>
                <w:sz w:val="24"/>
              </w:rPr>
              <w:t>预算金额（</w:t>
            </w:r>
            <w:r>
              <w:rPr>
                <w:rFonts w:hint="eastAsia" w:ascii="宋体" w:hAnsi="宋体" w:cs="宋体"/>
                <w:color w:val="000000"/>
                <w:kern w:val="0"/>
                <w:sz w:val="24"/>
              </w:rPr>
              <w:t>万元）</w:t>
            </w:r>
          </w:p>
        </w:tc>
        <w:tc>
          <w:tcPr>
            <w:tcW w:w="256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b/>
                <w:color w:val="000000"/>
                <w:sz w:val="24"/>
                <w:highlight w:val="yellow"/>
              </w:rPr>
            </w:pPr>
            <w:r>
              <w:rPr>
                <w:rFonts w:hint="eastAsia" w:ascii="宋体" w:hAnsi="宋体" w:cs="宋体"/>
                <w:color w:val="000000"/>
                <w:kern w:val="0"/>
                <w:sz w:val="24"/>
              </w:rPr>
              <w:t>机器人基础训练实验设备</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kern w:val="0"/>
                <w:sz w:val="24"/>
                <w:highlight w:val="yellow"/>
              </w:rPr>
            </w:pPr>
            <w:r>
              <w:rPr>
                <w:rFonts w:hint="eastAsia" w:ascii="宋体" w:hAnsi="宋体" w:cs="宋体"/>
                <w:color w:val="000000"/>
                <w:kern w:val="0"/>
                <w:sz w:val="24"/>
              </w:rPr>
              <w:t>1</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kern w:val="0"/>
                <w:sz w:val="24"/>
              </w:rPr>
            </w:pPr>
            <w:r>
              <w:rPr>
                <w:rFonts w:hint="eastAsia" w:ascii="宋体" w:hAnsi="宋体" w:cs="宋体"/>
                <w:color w:val="000000"/>
                <w:kern w:val="0"/>
                <w:sz w:val="24"/>
              </w:rPr>
              <w:t>批</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09.52</w:t>
            </w:r>
          </w:p>
        </w:tc>
        <w:tc>
          <w:tcPr>
            <w:tcW w:w="256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olor w:val="000000"/>
              </w:rPr>
            </w:pPr>
            <w:r>
              <w:rPr>
                <w:rFonts w:hint="eastAsia" w:ascii="宋体" w:hAnsi="宋体" w:cs="宋体"/>
                <w:color w:val="000000"/>
                <w:kern w:val="0"/>
                <w:sz w:val="24"/>
              </w:rPr>
              <w:t>详见招标文件第三章</w:t>
            </w:r>
          </w:p>
        </w:tc>
      </w:tr>
    </w:tbl>
    <w:p>
      <w:pPr>
        <w:tabs>
          <w:tab w:val="left" w:pos="2366"/>
        </w:tabs>
        <w:spacing w:line="440" w:lineRule="exact"/>
        <w:ind w:firstLine="482" w:firstLineChars="200"/>
        <w:rPr>
          <w:rFonts w:ascii="宋体" w:hAnsi="宋体"/>
          <w:b/>
          <w:bCs/>
          <w:color w:val="000000"/>
          <w:sz w:val="24"/>
        </w:rPr>
      </w:pPr>
      <w:r>
        <w:rPr>
          <w:rFonts w:hint="eastAsia" w:ascii="宋体" w:hAnsi="宋体"/>
          <w:b/>
          <w:color w:val="000000"/>
          <w:sz w:val="24"/>
        </w:rPr>
        <w:t>四</w:t>
      </w:r>
      <w:r>
        <w:rPr>
          <w:rFonts w:hint="eastAsia" w:ascii="宋体" w:hAnsi="宋体"/>
          <w:b/>
          <w:bCs/>
          <w:color w:val="000000"/>
          <w:sz w:val="24"/>
        </w:rPr>
        <w:t>、投标人的资格要求</w:t>
      </w:r>
    </w:p>
    <w:p>
      <w:pPr>
        <w:spacing w:line="440" w:lineRule="exact"/>
        <w:ind w:firstLine="480" w:firstLineChars="200"/>
        <w:rPr>
          <w:rFonts w:ascii="宋体" w:hAnsi="宋体" w:cs="仿宋_GB2312"/>
          <w:sz w:val="24"/>
        </w:rPr>
      </w:pPr>
      <w:r>
        <w:rPr>
          <w:rFonts w:hint="eastAsia" w:ascii="宋体" w:hAnsi="宋体" w:cs="仿宋_GB2312"/>
          <w:sz w:val="24"/>
        </w:rPr>
        <w:t>1.</w:t>
      </w:r>
      <w:r>
        <w:rPr>
          <w:rFonts w:hint="eastAsia" w:ascii="宋体" w:hAnsi="宋体"/>
          <w:color w:val="000000"/>
          <w:sz w:val="24"/>
        </w:rPr>
        <w:t>符合</w:t>
      </w:r>
      <w:r>
        <w:rPr>
          <w:rFonts w:ascii="宋体" w:hAnsi="宋体"/>
          <w:color w:val="000000"/>
          <w:sz w:val="24"/>
        </w:rPr>
        <w:t>《政府采购法》第二十二条规定的各项</w:t>
      </w:r>
      <w:r>
        <w:rPr>
          <w:rFonts w:hint="eastAsia" w:ascii="宋体" w:hAnsi="宋体"/>
          <w:color w:val="000000"/>
          <w:sz w:val="24"/>
        </w:rPr>
        <w:t>要求，且必须为未被列入“信用中国”网站(</w:t>
      </w:r>
      <w:r>
        <w:fldChar w:fldCharType="begin"/>
      </w:r>
      <w:r>
        <w:instrText xml:space="preserve"> HYPERLINK "http://www.creditchina.gov.cn/" </w:instrText>
      </w:r>
      <w:r>
        <w:fldChar w:fldCharType="separate"/>
      </w:r>
      <w:r>
        <w:rPr>
          <w:rFonts w:hint="eastAsia" w:ascii="宋体" w:hAnsi="宋体"/>
          <w:color w:val="000000"/>
          <w:sz w:val="24"/>
        </w:rPr>
        <w:t>www.creditchina.gov.cn)、中国政府采购网(</w:t>
      </w:r>
      <w:r>
        <w:rPr>
          <w:rFonts w:hint="eastAsia" w:ascii="宋体" w:hAnsi="宋体"/>
          <w:color w:val="000000"/>
          <w:sz w:val="24"/>
        </w:rPr>
        <w:fldChar w:fldCharType="end"/>
      </w:r>
      <w:r>
        <w:fldChar w:fldCharType="begin"/>
      </w:r>
      <w:r>
        <w:instrText xml:space="preserve"> HYPERLINK "http://www.ccgp.gov.cn/" </w:instrText>
      </w:r>
      <w:r>
        <w:fldChar w:fldCharType="separate"/>
      </w:r>
      <w:r>
        <w:rPr>
          <w:rFonts w:hint="eastAsia" w:ascii="宋体" w:hAnsi="宋体"/>
          <w:color w:val="000000"/>
          <w:sz w:val="24"/>
        </w:rPr>
        <w:t>www.ccgp.gov.cn)渠道信用记录失信被执行人、重大税收违法案件当事人名单、政府采购严重违法失信行为记录名单的投标人。</w:t>
      </w:r>
      <w:r>
        <w:rPr>
          <w:rFonts w:hint="eastAsia" w:ascii="宋体" w:hAnsi="宋体"/>
          <w:color w:val="000000"/>
          <w:sz w:val="24"/>
        </w:rPr>
        <w:fldChar w:fldCharType="end"/>
      </w:r>
    </w:p>
    <w:p>
      <w:pPr>
        <w:tabs>
          <w:tab w:val="left" w:pos="2366"/>
        </w:tabs>
        <w:spacing w:line="440" w:lineRule="exact"/>
        <w:ind w:firstLine="480" w:firstLineChars="200"/>
        <w:rPr>
          <w:rFonts w:ascii="宋体" w:hAnsi="宋体"/>
          <w:color w:val="000000"/>
          <w:sz w:val="24"/>
        </w:rPr>
      </w:pPr>
      <w:r>
        <w:rPr>
          <w:rFonts w:hint="eastAsia" w:ascii="宋体" w:hAnsi="宋体"/>
          <w:color w:val="000000"/>
          <w:sz w:val="24"/>
        </w:rPr>
        <w:t>2.在中华人民共和国境内依法注册的，能承担本项目的投标人。</w:t>
      </w:r>
    </w:p>
    <w:p>
      <w:pPr>
        <w:snapToGrid w:val="0"/>
        <w:spacing w:line="440" w:lineRule="exact"/>
        <w:ind w:firstLine="480" w:firstLineChars="200"/>
        <w:rPr>
          <w:rFonts w:ascii="宋体" w:hAnsi="宋体"/>
          <w:color w:val="000000"/>
          <w:sz w:val="24"/>
        </w:rPr>
      </w:pPr>
      <w:r>
        <w:rPr>
          <w:rFonts w:hint="eastAsia" w:ascii="宋体" w:hAnsi="宋体"/>
          <w:color w:val="000000"/>
          <w:sz w:val="24"/>
        </w:rPr>
        <w:t>3.</w:t>
      </w:r>
      <w:r>
        <w:rPr>
          <w:rFonts w:hint="eastAsia" w:ascii="宋体" w:hAnsi="宋体"/>
          <w:sz w:val="24"/>
        </w:rPr>
        <w:t>单位负责人为同一人或者存在直接控股、管理关系的不同投标人，不得参加同一合同项下的采购活动。</w:t>
      </w:r>
    </w:p>
    <w:p>
      <w:pPr>
        <w:tabs>
          <w:tab w:val="left" w:pos="2366"/>
        </w:tabs>
        <w:spacing w:line="360" w:lineRule="auto"/>
        <w:ind w:firstLine="480" w:firstLineChars="200"/>
        <w:rPr>
          <w:rFonts w:ascii="宋体" w:hAnsi="宋体"/>
          <w:color w:val="000000"/>
          <w:sz w:val="24"/>
        </w:rPr>
      </w:pPr>
      <w:r>
        <w:rPr>
          <w:rFonts w:hint="eastAsia" w:ascii="宋体" w:hAnsi="宋体"/>
          <w:color w:val="000000"/>
          <w:sz w:val="24"/>
        </w:rPr>
        <w:t>4.本项目不接受联合体投标。</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440" w:lineRule="exact"/>
        <w:ind w:firstLine="495"/>
        <w:rPr>
          <w:rFonts w:ascii="宋体" w:hAnsi="宋体" w:cs="仿宋_GB2312"/>
          <w:sz w:val="24"/>
        </w:rPr>
      </w:pPr>
      <w:r>
        <w:rPr>
          <w:rFonts w:hint="eastAsia" w:ascii="宋体" w:hAnsi="宋体" w:cs="仿宋_GB2312"/>
          <w:sz w:val="24"/>
        </w:rPr>
        <w:t>本项目无须报名。已在浙江省政府采购网注册的正式供应商可登录政采云平台（网址：https://login.zcygov.cn/login）获取采购文件。其他投标人可在浙江政府采购网（</w:t>
      </w:r>
      <w:r>
        <w:rPr>
          <w:rFonts w:ascii="宋体" w:hAnsi="宋体" w:cs="仿宋_GB2312"/>
          <w:sz w:val="24"/>
        </w:rPr>
        <w:t>http://zfcg.czt.zj.gov.cn/</w:t>
      </w:r>
      <w:r>
        <w:rPr>
          <w:rFonts w:hint="eastAsia" w:ascii="宋体" w:hAnsi="宋体" w:cs="仿宋_GB2312"/>
          <w:sz w:val="24"/>
        </w:rPr>
        <w:t>）或衢州市财政局网（czj.qz.gov.cn）、</w:t>
      </w:r>
      <w:r>
        <w:rPr>
          <w:rFonts w:hint="eastAsia" w:ascii="宋体" w:hAnsi="宋体" w:cs="宋体"/>
          <w:kern w:val="0"/>
          <w:sz w:val="24"/>
        </w:rPr>
        <w:t>衢州学院信息公开网（</w:t>
      </w:r>
      <w:r>
        <w:rPr>
          <w:rFonts w:ascii="宋体" w:hAnsi="宋体" w:cs="宋体"/>
          <w:kern w:val="0"/>
          <w:sz w:val="24"/>
        </w:rPr>
        <w:t>http://xxgk.qzc.edu.cn</w:t>
      </w:r>
      <w:r>
        <w:rPr>
          <w:rFonts w:hint="eastAsia" w:ascii="宋体" w:hAnsi="宋体" w:cs="宋体"/>
          <w:kern w:val="0"/>
          <w:sz w:val="24"/>
        </w:rPr>
        <w:t>）、</w:t>
      </w:r>
      <w:r>
        <w:rPr>
          <w:rFonts w:hint="eastAsia" w:ascii="宋体" w:hAnsi="宋体" w:cs="仿宋_GB2312"/>
          <w:sz w:val="24"/>
        </w:rPr>
        <w:t>衢州学院招标采购网（http://zbcg.qzc.edu.cn）免费下载。</w:t>
      </w:r>
    </w:p>
    <w:p>
      <w:pPr>
        <w:pStyle w:val="15"/>
        <w:spacing w:before="0" w:beforeAutospacing="0" w:after="0" w:afterAutospacing="0" w:line="440" w:lineRule="exact"/>
        <w:ind w:firstLine="482" w:firstLineChars="200"/>
        <w:jc w:val="both"/>
        <w:rPr>
          <w:rFonts w:cs="仿宋_GB2312"/>
          <w:b/>
          <w:color w:val="000000"/>
        </w:rPr>
      </w:pPr>
      <w:r>
        <w:rPr>
          <w:rFonts w:hint="eastAsia" w:cs="仿宋_GB2312"/>
          <w:b/>
          <w:color w:val="000000"/>
        </w:rPr>
        <w:t>六、投标说明</w:t>
      </w:r>
    </w:p>
    <w:p>
      <w:pPr>
        <w:pStyle w:val="10"/>
        <w:snapToGrid w:val="0"/>
        <w:spacing w:line="440" w:lineRule="exact"/>
        <w:ind w:firstLine="470" w:firstLineChars="196"/>
        <w:rPr>
          <w:rFonts w:hAnsi="宋体" w:cs="仿宋_GB2312"/>
          <w:color w:val="FF0000"/>
          <w:kern w:val="2"/>
          <w:sz w:val="24"/>
          <w:szCs w:val="24"/>
        </w:rPr>
      </w:pPr>
      <w:r>
        <w:rPr>
          <w:rFonts w:hint="eastAsia" w:hAnsi="宋体" w:cs="仿宋_GB2312"/>
          <w:color w:val="FF0000"/>
          <w:kern w:val="2"/>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10"/>
        <w:snapToGrid w:val="0"/>
        <w:spacing w:line="440" w:lineRule="exact"/>
        <w:ind w:firstLine="470" w:firstLineChars="196"/>
        <w:rPr>
          <w:rFonts w:hAnsi="宋体" w:cs="仿宋_GB2312"/>
          <w:color w:val="FF0000"/>
          <w:kern w:val="2"/>
          <w:sz w:val="24"/>
          <w:szCs w:val="24"/>
        </w:rPr>
      </w:pPr>
      <w:r>
        <w:rPr>
          <w:rFonts w:hint="eastAsia" w:hAnsi="宋体" w:cs="仿宋_GB2312"/>
          <w:color w:val="FF0000"/>
          <w:kern w:val="2"/>
          <w:sz w:val="24"/>
          <w:szCs w:val="24"/>
        </w:rPr>
        <w:t>2.投标人应在开标前完成CA数字证书办理。（办理流程详见：</w:t>
      </w:r>
      <w:r>
        <w:rPr>
          <w:rFonts w:hAnsi="宋体" w:cs="仿宋_GB2312"/>
          <w:color w:val="FF0000"/>
          <w:kern w:val="2"/>
          <w:sz w:val="24"/>
          <w:szCs w:val="24"/>
        </w:rPr>
        <w:t>http://zfcg.czt.zj.gov.cn/bidClientTemplate/2019-05-27/12945.html</w:t>
      </w:r>
      <w:r>
        <w:rPr>
          <w:rFonts w:hint="eastAsia" w:hAnsi="宋体" w:cs="仿宋_GB2312"/>
          <w:color w:val="FF0000"/>
          <w:kern w:val="2"/>
          <w:sz w:val="24"/>
          <w:szCs w:val="24"/>
        </w:rPr>
        <w:t>）。完成CA数字证书办理预计一周左右，建议各投标人抓紧时间办理。CA数字证书使用中出现问题可拨打技术支持电话咨询，联系方式：400-888-4636。</w:t>
      </w:r>
    </w:p>
    <w:p>
      <w:pPr>
        <w:snapToGrid w:val="0"/>
        <w:spacing w:line="440" w:lineRule="exact"/>
        <w:ind w:firstLine="480" w:firstLineChars="200"/>
        <w:rPr>
          <w:rFonts w:ascii="宋体" w:hAnsi="宋体" w:cs="仿宋_GB2312"/>
          <w:color w:val="FF0000"/>
          <w:sz w:val="24"/>
        </w:rPr>
      </w:pPr>
      <w:r>
        <w:rPr>
          <w:rFonts w:hint="eastAsia" w:asciiTheme="minorEastAsia" w:hAnsiTheme="minorEastAsia" w:eastAsiaTheme="minorEastAsia" w:cstheme="minorEastAsia"/>
          <w:color w:val="FF0000"/>
          <w:sz w:val="24"/>
        </w:rPr>
        <w:t>3.</w:t>
      </w:r>
      <w:r>
        <w:rPr>
          <w:rFonts w:hint="eastAsia" w:ascii="宋体" w:hAnsi="宋体" w:cs="仿宋_GB2312"/>
          <w:color w:val="FF0000"/>
          <w:sz w:val="24"/>
        </w:rPr>
        <w:t>投标人编制电子投标文件应安装“电子交易客户端”软件，并按照本招标文件和电子交易平台的要求编制并加密投标文件。未按规定加密的投标文件，将被电子交易平台拒收。“电子交易客户端”请供应商自行前往“浙江政府采购网—下载专区—电子交易客户端”版块获取（下载网址：</w:t>
      </w:r>
    </w:p>
    <w:p>
      <w:pPr>
        <w:snapToGrid w:val="0"/>
        <w:spacing w:line="440" w:lineRule="exact"/>
        <w:rPr>
          <w:rFonts w:asciiTheme="minorEastAsia" w:hAnsiTheme="minorEastAsia" w:eastAsiaTheme="minorEastAsia" w:cstheme="minorEastAsia"/>
          <w:color w:val="FF0000"/>
          <w:sz w:val="24"/>
        </w:rPr>
      </w:pPr>
      <w:r>
        <w:fldChar w:fldCharType="begin"/>
      </w:r>
      <w:r>
        <w:instrText xml:space="preserve"> HYPERLINK "http://zfcg.czt.zj.gov.cn/bidClientTemplate/2019-09-24/12975.html%EF%BC%89" \t "_blank" </w:instrText>
      </w:r>
      <w:r>
        <w:fldChar w:fldCharType="separate"/>
      </w:r>
      <w:r>
        <w:rPr>
          <w:rFonts w:hint="eastAsia" w:ascii="宋体" w:hAnsi="宋体" w:cs="仿宋_GB2312"/>
          <w:color w:val="FF0000"/>
          <w:sz w:val="24"/>
        </w:rPr>
        <w:t>http://zfcg.czt.zj.gov.cn/bidClientTemplate/2019-09-24/12975.html）</w:t>
      </w:r>
      <w:r>
        <w:rPr>
          <w:rFonts w:hint="eastAsia" w:ascii="宋体" w:hAnsi="宋体" w:cs="仿宋_GB2312"/>
          <w:color w:val="FF0000"/>
          <w:sz w:val="24"/>
        </w:rPr>
        <w:fldChar w:fldCharType="end"/>
      </w:r>
      <w:r>
        <w:rPr>
          <w:rFonts w:hint="eastAsia" w:ascii="宋体" w:hAnsi="宋体" w:cs="仿宋_GB2312"/>
          <w:color w:val="FF0000"/>
          <w:sz w:val="24"/>
        </w:rPr>
        <w:t>。</w:t>
      </w:r>
    </w:p>
    <w:p>
      <w:pPr>
        <w:pStyle w:val="15"/>
        <w:spacing w:before="0" w:beforeAutospacing="0" w:after="0" w:afterAutospacing="0" w:line="440" w:lineRule="exact"/>
        <w:ind w:firstLine="482" w:firstLineChars="200"/>
        <w:jc w:val="both"/>
        <w:rPr>
          <w:rFonts w:cs="仿宋_GB2312"/>
          <w:b/>
          <w:color w:val="000000" w:themeColor="text1"/>
          <w14:textFill>
            <w14:solidFill>
              <w14:schemeClr w14:val="tx1"/>
            </w14:solidFill>
          </w14:textFill>
        </w:rPr>
      </w:pPr>
      <w:r>
        <w:rPr>
          <w:rFonts w:hint="eastAsia" w:cs="仿宋_GB2312"/>
          <w:b/>
          <w:color w:val="000000" w:themeColor="text1"/>
          <w14:textFill>
            <w14:solidFill>
              <w14:schemeClr w14:val="tx1"/>
            </w14:solidFill>
          </w14:textFill>
        </w:rPr>
        <w:t>七、递交投标文件截止及开标时间：2021年5月13日14:00时（北京时间）</w:t>
      </w:r>
    </w:p>
    <w:p>
      <w:pPr>
        <w:pStyle w:val="10"/>
        <w:snapToGrid w:val="0"/>
        <w:spacing w:line="440" w:lineRule="exact"/>
        <w:ind w:firstLine="470" w:firstLineChars="196"/>
        <w:rPr>
          <w:rFonts w:hAnsi="宋体" w:cs="仿宋_GB2312"/>
          <w:color w:val="FF0000"/>
          <w:kern w:val="2"/>
          <w:sz w:val="24"/>
          <w:szCs w:val="24"/>
        </w:rPr>
      </w:pPr>
      <w:r>
        <w:rPr>
          <w:rFonts w:hint="eastAsia" w:hAnsi="宋体" w:cs="仿宋_GB2312"/>
          <w:color w:val="FF0000"/>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仿宋_GB2312"/>
          <w:color w:val="FF0000"/>
          <w:sz w:val="24"/>
        </w:rPr>
      </w:pPr>
      <w:r>
        <w:rPr>
          <w:rFonts w:hint="eastAsia" w:ascii="宋体" w:hAnsi="宋体" w:cs="仿宋_GB2312"/>
          <w:color w:val="FF0000"/>
          <w:sz w:val="24"/>
        </w:rPr>
        <w:t>2.投标人无需到现场投标，但须准时在线参加，直至评审结束。</w:t>
      </w:r>
      <w:r>
        <w:rPr>
          <w:rFonts w:ascii="宋体" w:hAnsi="宋体" w:cs="仿宋_GB2312"/>
          <w:color w:val="FF0000"/>
          <w:sz w:val="24"/>
        </w:rPr>
        <w:t>投标截止时间后投标人凭CA数字证书登录政采云平台完成投标文件解密。</w:t>
      </w:r>
      <w:r>
        <w:rPr>
          <w:rFonts w:hint="eastAsia" w:ascii="宋体" w:hAnsi="宋体" w:cs="仿宋_GB2312"/>
          <w:color w:val="FF0000"/>
          <w:sz w:val="24"/>
        </w:rPr>
        <w:t>投标人的联系电话在投标当天保持通信畅通，因通信问题无法联系到投标人造成的后果由投标人自行承担。</w:t>
      </w:r>
    </w:p>
    <w:p>
      <w:pPr>
        <w:widowControl/>
        <w:spacing w:line="440" w:lineRule="exact"/>
        <w:ind w:firstLine="482"/>
        <w:rPr>
          <w:rFonts w:ascii="宋体" w:hAnsi="宋体" w:cs="宋体"/>
          <w:b/>
          <w:bCs/>
          <w:kern w:val="0"/>
          <w:sz w:val="24"/>
        </w:rPr>
      </w:pPr>
      <w:r>
        <w:rPr>
          <w:rFonts w:hint="eastAsia" w:ascii="宋体" w:hAnsi="宋体" w:cs="宋体"/>
          <w:b/>
          <w:bCs/>
          <w:kern w:val="0"/>
          <w:sz w:val="24"/>
        </w:rPr>
        <w:t>八、开标地点</w:t>
      </w:r>
    </w:p>
    <w:p>
      <w:pPr>
        <w:widowControl/>
        <w:spacing w:line="440" w:lineRule="exact"/>
        <w:ind w:firstLine="482"/>
        <w:rPr>
          <w:rFonts w:ascii="宋体" w:hAnsi="宋体" w:cs="宋体"/>
          <w:kern w:val="0"/>
          <w:sz w:val="24"/>
        </w:rPr>
      </w:pPr>
      <w:r>
        <w:rPr>
          <w:rFonts w:hint="eastAsia" w:ascii="宋体" w:hAnsi="宋体" w:cs="宋体"/>
          <w:kern w:val="0"/>
          <w:sz w:val="24"/>
        </w:rPr>
        <w:t>开标地点：衢州学院开标室（行政楼121室）。</w:t>
      </w:r>
    </w:p>
    <w:p>
      <w:pPr>
        <w:widowControl/>
        <w:spacing w:line="440" w:lineRule="exact"/>
        <w:ind w:firstLine="482"/>
        <w:rPr>
          <w:rFonts w:ascii="宋体" w:hAnsi="宋体" w:cs="宋体"/>
          <w:b/>
          <w:bCs/>
          <w:kern w:val="0"/>
          <w:sz w:val="24"/>
        </w:rPr>
      </w:pPr>
      <w:r>
        <w:rPr>
          <w:rFonts w:hint="eastAsia" w:ascii="宋体" w:hAnsi="宋体" w:cs="宋体"/>
          <w:b/>
          <w:bCs/>
          <w:kern w:val="0"/>
          <w:sz w:val="24"/>
        </w:rPr>
        <w:t>九、投标保证金</w:t>
      </w:r>
    </w:p>
    <w:p>
      <w:pPr>
        <w:widowControl/>
        <w:spacing w:line="440" w:lineRule="exact"/>
        <w:ind w:firstLine="482"/>
        <w:rPr>
          <w:rFonts w:ascii="宋体" w:hAnsi="宋体" w:cs="宋体"/>
          <w:kern w:val="0"/>
          <w:sz w:val="24"/>
        </w:rPr>
      </w:pPr>
      <w:r>
        <w:rPr>
          <w:rFonts w:hint="eastAsia" w:ascii="宋体" w:hAnsi="宋体" w:cs="宋体"/>
          <w:kern w:val="0"/>
          <w:sz w:val="24"/>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rPr>
          <w:rFonts w:ascii="宋体" w:hAnsi="宋体"/>
          <w:kern w:val="0"/>
          <w:sz w:val="24"/>
        </w:rPr>
      </w:pPr>
      <w:r>
        <w:rPr>
          <w:rFonts w:hint="eastAsia" w:ascii="宋体" w:hAnsi="宋体" w:cs="宋体"/>
          <w:kern w:val="0"/>
          <w:sz w:val="24"/>
        </w:rPr>
        <w:t>1.未注册加入浙江省政府采购供应商库的供应商一旦被确定为中标人的，</w:t>
      </w:r>
      <w:r>
        <w:rPr>
          <w:rFonts w:hint="eastAsia" w:ascii="宋体" w:hAnsi="宋体" w:cs="宋体"/>
          <w:b/>
          <w:bCs/>
          <w:kern w:val="0"/>
          <w:sz w:val="24"/>
        </w:rPr>
        <w:t>应</w:t>
      </w:r>
      <w:r>
        <w:rPr>
          <w:rFonts w:hint="eastAsia" w:ascii="宋体" w:hAnsi="宋体"/>
          <w:kern w:val="0"/>
          <w:sz w:val="24"/>
        </w:rPr>
        <w:t>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kern w:val="0"/>
          <w:sz w:val="24"/>
        </w:rPr>
      </w:pPr>
      <w:r>
        <w:rPr>
          <w:rFonts w:hint="eastAsia" w:ascii="宋体" w:hAnsi="宋体"/>
          <w:kern w:val="0"/>
          <w:sz w:val="24"/>
        </w:rPr>
        <w:t>2</w:t>
      </w:r>
      <w:r>
        <w:rPr>
          <w:rFonts w:ascii="宋体" w:hAnsi="宋体"/>
          <w:kern w:val="0"/>
          <w:sz w:val="24"/>
        </w:rPr>
        <w:t>.</w:t>
      </w:r>
      <w:r>
        <w:rPr>
          <w:rFonts w:hint="eastAsia" w:ascii="宋体" w:hAnsi="宋体"/>
          <w:kern w:val="0"/>
          <w:sz w:val="24"/>
        </w:rPr>
        <w:t>质疑和投诉</w:t>
      </w:r>
    </w:p>
    <w:p>
      <w:pPr>
        <w:widowControl/>
        <w:spacing w:line="440" w:lineRule="exact"/>
        <w:ind w:firstLine="480"/>
        <w:jc w:val="left"/>
        <w:rPr>
          <w:rFonts w:ascii="宋体" w:hAnsi="宋体"/>
          <w:kern w:val="0"/>
          <w:sz w:val="24"/>
        </w:rPr>
      </w:pPr>
      <w:r>
        <w:rPr>
          <w:rFonts w:ascii="宋体" w:hAnsi="宋体"/>
          <w:kern w:val="0"/>
          <w:sz w:val="24"/>
        </w:rPr>
        <w:t>(</w:t>
      </w:r>
      <w:r>
        <w:rPr>
          <w:rFonts w:hint="eastAsia" w:ascii="宋体" w:hAnsi="宋体"/>
          <w:kern w:val="0"/>
          <w:sz w:val="24"/>
        </w:rPr>
        <w:t>1</w:t>
      </w:r>
      <w:r>
        <w:rPr>
          <w:rFonts w:ascii="宋体" w:hAnsi="宋体"/>
          <w:kern w:val="0"/>
          <w:sz w:val="24"/>
        </w:rPr>
        <w:t>)</w:t>
      </w:r>
      <w:r>
        <w:rPr>
          <w:rFonts w:hint="eastAsia" w:ascii="宋体" w:hAnsi="宋体"/>
          <w:kern w:val="0"/>
          <w:sz w:val="24"/>
        </w:rPr>
        <w:t>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sz w:val="24"/>
        </w:rPr>
        <w:t>以书面形式</w:t>
      </w:r>
      <w:r>
        <w:rPr>
          <w:rFonts w:ascii="宋体" w:hAnsi="宋体"/>
          <w:sz w:val="24"/>
        </w:rPr>
        <w:t>向衢州学院</w:t>
      </w:r>
      <w:r>
        <w:rPr>
          <w:rFonts w:hint="eastAsia" w:ascii="宋体" w:hAnsi="宋体"/>
          <w:sz w:val="24"/>
        </w:rPr>
        <w:t>采购管理办公室</w:t>
      </w:r>
      <w:r>
        <w:rPr>
          <w:rFonts w:ascii="宋体" w:hAnsi="宋体"/>
          <w:sz w:val="24"/>
        </w:rPr>
        <w:t>（</w:t>
      </w:r>
      <w:r>
        <w:rPr>
          <w:rFonts w:hint="eastAsia" w:ascii="宋体" w:hAnsi="宋体"/>
          <w:sz w:val="24"/>
        </w:rPr>
        <w:t>联系人：郑老师，联系电话：</w:t>
      </w:r>
      <w:r>
        <w:rPr>
          <w:rFonts w:ascii="宋体" w:hAnsi="宋体"/>
          <w:sz w:val="24"/>
        </w:rPr>
        <w:t>0570-80</w:t>
      </w:r>
      <w:r>
        <w:rPr>
          <w:rFonts w:hint="eastAsia" w:ascii="宋体" w:hAnsi="宋体"/>
          <w:sz w:val="24"/>
        </w:rPr>
        <w:t>15028</w:t>
      </w:r>
      <w:r>
        <w:rPr>
          <w:rFonts w:ascii="宋体" w:hAnsi="宋体"/>
          <w:sz w:val="24"/>
        </w:rPr>
        <w:t>）</w:t>
      </w:r>
      <w:r>
        <w:rPr>
          <w:rFonts w:ascii="宋体" w:hAnsi="宋体"/>
          <w:kern w:val="0"/>
          <w:sz w:val="24"/>
        </w:rPr>
        <w:t>纪检监察室（</w:t>
      </w:r>
      <w:r>
        <w:rPr>
          <w:rFonts w:hint="eastAsia" w:ascii="宋体" w:hAnsi="宋体"/>
          <w:kern w:val="0"/>
          <w:sz w:val="24"/>
        </w:rPr>
        <w:t>联系人：</w:t>
      </w:r>
      <w:r>
        <w:rPr>
          <w:rFonts w:hint="eastAsia" w:ascii="宋体" w:hAnsi="宋体"/>
          <w:sz w:val="24"/>
        </w:rPr>
        <w:t>吴老师，联系电话：0570-8028406</w:t>
      </w:r>
      <w:r>
        <w:rPr>
          <w:rFonts w:ascii="宋体" w:hAnsi="宋体"/>
          <w:kern w:val="0"/>
          <w:sz w:val="24"/>
        </w:rPr>
        <w:t>）提出质疑；投标人对衢州学院</w:t>
      </w:r>
      <w:r>
        <w:rPr>
          <w:rFonts w:hint="eastAsia" w:ascii="宋体" w:hAnsi="宋体"/>
          <w:kern w:val="0"/>
          <w:sz w:val="24"/>
        </w:rPr>
        <w:t>采购管理办公室</w:t>
      </w:r>
      <w:r>
        <w:rPr>
          <w:rFonts w:ascii="宋体" w:hAnsi="宋体"/>
          <w:kern w:val="0"/>
          <w:sz w:val="24"/>
        </w:rPr>
        <w:t>、纪检监察室的质疑答复不满意或其未在规定时间内作出答复的，可以在答复期满后十五个工作日内向衢州市财政局政府采购监管处投诉（联系人：</w:t>
      </w:r>
      <w:r>
        <w:rPr>
          <w:rFonts w:hint="eastAsia" w:ascii="宋体" w:hAnsi="宋体"/>
          <w:kern w:val="0"/>
          <w:sz w:val="24"/>
        </w:rPr>
        <w:t>徐</w:t>
      </w:r>
      <w:r>
        <w:rPr>
          <w:rFonts w:ascii="宋体" w:hAnsi="宋体"/>
          <w:kern w:val="0"/>
          <w:sz w:val="24"/>
        </w:rPr>
        <w:t>先生；</w:t>
      </w:r>
      <w:r>
        <w:rPr>
          <w:rFonts w:hint="eastAsia" w:ascii="宋体" w:hAnsi="宋体"/>
          <w:kern w:val="0"/>
          <w:sz w:val="24"/>
        </w:rPr>
        <w:t>电话：</w:t>
      </w:r>
      <w:r>
        <w:rPr>
          <w:rFonts w:ascii="宋体" w:hAnsi="宋体"/>
          <w:kern w:val="0"/>
          <w:sz w:val="24"/>
        </w:rPr>
        <w:t>0570-8757615）。</w:t>
      </w:r>
    </w:p>
    <w:p>
      <w:pPr>
        <w:spacing w:line="440" w:lineRule="exact"/>
        <w:ind w:firstLine="480" w:firstLineChars="200"/>
        <w:rPr>
          <w:rFonts w:ascii="宋体" w:hAnsi="宋体"/>
          <w:kern w:val="0"/>
          <w:sz w:val="24"/>
        </w:rPr>
      </w:pPr>
      <w:r>
        <w:rPr>
          <w:rFonts w:ascii="宋体" w:hAnsi="宋体"/>
          <w:kern w:val="0"/>
          <w:sz w:val="24"/>
        </w:rPr>
        <w:t xml:space="preserve"> (</w:t>
      </w:r>
      <w:r>
        <w:rPr>
          <w:rFonts w:hint="eastAsia" w:ascii="宋体" w:hAnsi="宋体"/>
          <w:kern w:val="0"/>
          <w:sz w:val="24"/>
        </w:rPr>
        <w:t>2</w:t>
      </w:r>
      <w:r>
        <w:rPr>
          <w:rFonts w:ascii="宋体" w:hAnsi="宋体"/>
          <w:kern w:val="0"/>
          <w:sz w:val="24"/>
        </w:rPr>
        <w:t>)</w:t>
      </w:r>
      <w:r>
        <w:rPr>
          <w:rFonts w:hint="eastAsia" w:ascii="宋体" w:hAnsi="宋体"/>
          <w:kern w:val="0"/>
          <w:sz w:val="24"/>
        </w:rPr>
        <w:t>质疑、投诉应当采用书面形式。质疑书、投诉书均应明确阐述招标文件、招标过程或中标结果使自己权益受到损害的实质性内容，提供相关事实、依据和证据及其来源或线索，便于有关单位调查、答复和处理。</w:t>
      </w:r>
    </w:p>
    <w:p>
      <w:pPr>
        <w:spacing w:line="440" w:lineRule="exact"/>
        <w:ind w:firstLine="482" w:firstLineChars="200"/>
        <w:rPr>
          <w:b/>
          <w:bCs/>
          <w:color w:val="000000"/>
          <w:sz w:val="24"/>
        </w:rPr>
      </w:pPr>
      <w:r>
        <w:rPr>
          <w:rFonts w:hint="eastAsia" w:ascii="宋体" w:hAnsi="宋体"/>
          <w:b/>
          <w:bCs/>
          <w:color w:val="FF0000"/>
          <w:sz w:val="24"/>
        </w:rPr>
        <w:t>3.本</w:t>
      </w:r>
      <w:r>
        <w:rPr>
          <w:b/>
          <w:bCs/>
          <w:color w:val="FF0000"/>
          <w:sz w:val="24"/>
        </w:rPr>
        <w:t>项目有功能演示环节，</w:t>
      </w:r>
      <w:r>
        <w:rPr>
          <w:sz w:val="24"/>
        </w:rPr>
        <w:t>请准备一份“演示录制视频 ”在投标截止前通过 EMS或顺丰邮寄方式寄送至“浙江省衢州市九华北大道78</w:t>
      </w:r>
      <w:r>
        <w:rPr>
          <w:color w:val="000000" w:themeColor="text1"/>
          <w:sz w:val="24"/>
          <w14:textFill>
            <w14:solidFill>
              <w14:schemeClr w14:val="tx1"/>
            </w14:solidFill>
          </w14:textFill>
        </w:rPr>
        <w:t>号衢州学院采购中心周老师收”。</w:t>
      </w:r>
      <w:r>
        <w:rPr>
          <w:sz w:val="24"/>
        </w:rPr>
        <w:t>“演示录制视频 ”时间控制在30分钟以内；视频格式要求为 Avi、MP4 等常用格式，以U盘单独密封提交，且密封袋上注明项目名称、供应商单位名称并加盖公章，未密封包装或者逾期邮寄送达的“演示录制视频”将不予接收 。</w:t>
      </w:r>
      <w:r>
        <w:rPr>
          <w:color w:val="FF0000"/>
          <w:sz w:val="24"/>
          <w:shd w:val="clear" w:color="auto" w:fill="FFFFFF"/>
        </w:rPr>
        <w:t>投标截止</w:t>
      </w:r>
      <w:r>
        <w:rPr>
          <w:rFonts w:hint="eastAsia" w:ascii="Arial" w:hAnsi="Arial" w:cs="Arial"/>
          <w:color w:val="FF0000"/>
          <w:sz w:val="24"/>
          <w:shd w:val="clear" w:color="auto" w:fill="FFFFFF"/>
        </w:rPr>
        <w:t>前没有送达</w:t>
      </w:r>
      <w:r>
        <w:rPr>
          <w:rFonts w:ascii="Arial" w:hAnsi="Arial" w:cs="Arial"/>
          <w:color w:val="FF0000"/>
          <w:sz w:val="24"/>
          <w:shd w:val="clear" w:color="auto" w:fill="FFFFFF"/>
        </w:rPr>
        <w:t>“</w:t>
      </w:r>
      <w:r>
        <w:rPr>
          <w:rFonts w:hint="eastAsia" w:ascii="Arial" w:hAnsi="Arial" w:cs="Arial"/>
          <w:color w:val="FF0000"/>
          <w:sz w:val="24"/>
          <w:shd w:val="clear" w:color="auto" w:fill="FFFFFF"/>
        </w:rPr>
        <w:t>演示录制视频</w:t>
      </w:r>
      <w:r>
        <w:rPr>
          <w:rFonts w:ascii="Arial" w:hAnsi="Arial" w:cs="Arial"/>
          <w:color w:val="FF0000"/>
          <w:sz w:val="24"/>
          <w:shd w:val="clear" w:color="auto" w:fill="FFFFFF"/>
        </w:rPr>
        <w:t>”</w:t>
      </w:r>
      <w:r>
        <w:rPr>
          <w:rFonts w:hint="eastAsia" w:ascii="Arial" w:hAnsi="Arial" w:cs="Arial"/>
          <w:color w:val="FF0000"/>
          <w:sz w:val="24"/>
          <w:shd w:val="clear" w:color="auto" w:fill="FFFFFF"/>
        </w:rPr>
        <w:t>的投标人视为无演示环节</w:t>
      </w:r>
      <w:r>
        <w:rPr>
          <w:rFonts w:ascii="Arial" w:hAnsi="Arial" w:cs="Arial"/>
          <w:color w:val="FF0000"/>
          <w:sz w:val="24"/>
          <w:shd w:val="clear" w:color="auto" w:fill="FFFFFF"/>
        </w:rPr>
        <w:t xml:space="preserve"> </w:t>
      </w:r>
      <w:r>
        <w:rPr>
          <w:rFonts w:hint="eastAsia" w:ascii="Arial" w:hAnsi="Arial" w:cs="Arial"/>
          <w:color w:val="FF0000"/>
          <w:sz w:val="24"/>
          <w:shd w:val="clear" w:color="auto" w:fill="FFFFFF"/>
        </w:rPr>
        <w:t>。</w:t>
      </w:r>
    </w:p>
    <w:p>
      <w:pPr>
        <w:tabs>
          <w:tab w:val="left" w:pos="2366"/>
        </w:tabs>
        <w:spacing w:line="440" w:lineRule="exact"/>
        <w:ind w:firstLine="482" w:firstLineChars="200"/>
        <w:rPr>
          <w:rFonts w:ascii="宋体" w:hAnsi="宋体"/>
          <w:b/>
          <w:bCs/>
          <w:sz w:val="24"/>
        </w:rPr>
      </w:pPr>
      <w:r>
        <w:rPr>
          <w:rFonts w:hint="eastAsia" w:ascii="宋体" w:hAnsi="宋体"/>
          <w:b/>
          <w:bCs/>
          <w:sz w:val="24"/>
        </w:rPr>
        <w:t>十一、投标人在投标过程中的一切费用自负。</w:t>
      </w:r>
    </w:p>
    <w:p>
      <w:pPr>
        <w:tabs>
          <w:tab w:val="left" w:pos="2366"/>
        </w:tabs>
        <w:spacing w:line="440" w:lineRule="exact"/>
        <w:ind w:firstLine="495"/>
        <w:rPr>
          <w:rFonts w:ascii="宋体" w:hAnsi="宋体"/>
          <w:b/>
          <w:bCs/>
          <w:sz w:val="24"/>
        </w:rPr>
      </w:pPr>
      <w:r>
        <w:rPr>
          <w:rFonts w:hint="eastAsia" w:ascii="宋体" w:hAnsi="宋体"/>
          <w:b/>
          <w:bCs/>
          <w:sz w:val="24"/>
        </w:rPr>
        <w:t>十二、本公告发布网址：</w:t>
      </w:r>
    </w:p>
    <w:p>
      <w:pPr>
        <w:tabs>
          <w:tab w:val="left" w:pos="2366"/>
        </w:tabs>
        <w:spacing w:line="440" w:lineRule="exact"/>
        <w:ind w:firstLine="495"/>
        <w:rPr>
          <w:rFonts w:ascii="宋体" w:hAnsi="宋体"/>
          <w:b/>
          <w:bCs/>
          <w:sz w:val="24"/>
        </w:rPr>
      </w:pPr>
      <w:r>
        <w:rPr>
          <w:rFonts w:hint="eastAsia" w:ascii="宋体" w:hAnsi="宋体"/>
          <w:b/>
          <w:bCs/>
          <w:sz w:val="24"/>
        </w:rPr>
        <w:t>浙江政府采购网（</w:t>
      </w:r>
      <w:r>
        <w:rPr>
          <w:rFonts w:ascii="宋体" w:hAnsi="宋体"/>
          <w:b/>
          <w:bCs/>
          <w:sz w:val="24"/>
        </w:rPr>
        <w:t>http://zfcg.czt.zj.gov.cn/</w:t>
      </w:r>
      <w:r>
        <w:rPr>
          <w:rFonts w:hint="eastAsia" w:ascii="宋体" w:hAnsi="宋体"/>
          <w:b/>
          <w:bCs/>
          <w:sz w:val="24"/>
        </w:rPr>
        <w:t>）；</w:t>
      </w:r>
    </w:p>
    <w:p>
      <w:pPr>
        <w:tabs>
          <w:tab w:val="left" w:pos="2366"/>
        </w:tabs>
        <w:spacing w:line="440" w:lineRule="exact"/>
        <w:ind w:firstLine="495"/>
        <w:rPr>
          <w:rFonts w:ascii="宋体" w:hAnsi="宋体"/>
          <w:b/>
          <w:bCs/>
          <w:sz w:val="24"/>
        </w:rPr>
      </w:pPr>
      <w:r>
        <w:rPr>
          <w:rFonts w:hint="eastAsia" w:ascii="宋体" w:hAnsi="宋体"/>
          <w:b/>
          <w:bCs/>
          <w:sz w:val="24"/>
        </w:rPr>
        <w:t>衢州市财政网（http://czj.qz.gov.cn）；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w:t>
      </w:r>
      <w:r>
        <w:rPr>
          <w:rFonts w:ascii="宋体" w:hAnsi="宋体" w:cs="宋体"/>
          <w:b/>
          <w:bCs/>
          <w:kern w:val="0"/>
          <w:sz w:val="24"/>
        </w:rPr>
        <w:t>http://xxgk.qzc.edu.cn</w:t>
      </w:r>
      <w:r>
        <w:rPr>
          <w:rFonts w:hint="eastAsia" w:ascii="宋体" w:hAnsi="宋体" w:cs="宋体"/>
          <w:b/>
          <w:bCs/>
          <w:kern w:val="0"/>
          <w:sz w:val="24"/>
        </w:rPr>
        <w:t>）；</w:t>
      </w:r>
    </w:p>
    <w:p>
      <w:pPr>
        <w:tabs>
          <w:tab w:val="left" w:pos="2366"/>
        </w:tabs>
        <w:spacing w:line="440" w:lineRule="exact"/>
        <w:ind w:firstLine="495"/>
        <w:rPr>
          <w:rFonts w:ascii="宋体" w:hAnsi="宋体"/>
          <w:b/>
          <w:bCs/>
          <w:sz w:val="24"/>
        </w:rPr>
      </w:pPr>
      <w:r>
        <w:rPr>
          <w:rFonts w:hint="eastAsia" w:ascii="宋体" w:hAnsi="宋体" w:cs="宋体"/>
          <w:b/>
          <w:sz w:val="24"/>
        </w:rPr>
        <w:t>衢州学院招标采购网（</w:t>
      </w:r>
      <w:r>
        <w:rPr>
          <w:rFonts w:ascii="宋体" w:hAnsi="宋体" w:cs="宋体"/>
          <w:b/>
          <w:sz w:val="24"/>
        </w:rPr>
        <w:t>http://zbcg.qzc.edu.cn</w:t>
      </w:r>
      <w:r>
        <w:rPr>
          <w:rFonts w:hint="eastAsia" w:ascii="宋体" w:hAnsi="宋体" w:cs="宋体"/>
          <w:b/>
          <w:sz w:val="24"/>
        </w:rPr>
        <w:t>）</w:t>
      </w:r>
      <w:r>
        <w:rPr>
          <w:rFonts w:hint="eastAsia" w:ascii="宋体" w:hAnsi="宋体"/>
          <w:b/>
          <w:bCs/>
          <w:sz w:val="24"/>
        </w:rPr>
        <w:t>。</w:t>
      </w:r>
    </w:p>
    <w:p>
      <w:pPr>
        <w:tabs>
          <w:tab w:val="left" w:pos="2366"/>
        </w:tabs>
        <w:spacing w:line="440" w:lineRule="exact"/>
        <w:ind w:firstLine="495"/>
        <w:rPr>
          <w:rFonts w:ascii="宋体" w:hAnsi="宋体"/>
          <w:b/>
          <w:bCs/>
          <w:sz w:val="24"/>
        </w:rPr>
      </w:pPr>
      <w:r>
        <w:rPr>
          <w:rFonts w:hint="eastAsia" w:ascii="宋体" w:hAnsi="宋体"/>
          <w:b/>
          <w:bCs/>
          <w:sz w:val="24"/>
        </w:rPr>
        <w:t>十三、本招标文件由衢州学院采购中心、</w:t>
      </w:r>
      <w:r>
        <w:rPr>
          <w:rFonts w:hint="eastAsia" w:ascii="宋体" w:hAnsi="宋体"/>
          <w:b/>
          <w:bCs/>
          <w:color w:val="000000"/>
          <w:sz w:val="24"/>
        </w:rPr>
        <w:t>机械学院</w:t>
      </w:r>
      <w:r>
        <w:rPr>
          <w:rFonts w:hint="eastAsia" w:ascii="宋体" w:hAnsi="宋体"/>
          <w:b/>
          <w:bCs/>
          <w:sz w:val="24"/>
        </w:rPr>
        <w:t>负责解释。</w:t>
      </w:r>
    </w:p>
    <w:p>
      <w:pPr>
        <w:spacing w:line="440" w:lineRule="exact"/>
        <w:ind w:firstLine="495"/>
        <w:rPr>
          <w:rFonts w:ascii="宋体" w:hAnsi="宋体"/>
          <w:b/>
          <w:bCs/>
          <w:sz w:val="24"/>
        </w:rPr>
      </w:pPr>
      <w:r>
        <w:rPr>
          <w:rFonts w:hint="eastAsia" w:ascii="宋体" w:hAnsi="宋体"/>
          <w:b/>
          <w:bCs/>
          <w:sz w:val="24"/>
        </w:rPr>
        <w:t>十四、联系方式</w:t>
      </w:r>
    </w:p>
    <w:p>
      <w:pPr>
        <w:spacing w:line="440" w:lineRule="exact"/>
        <w:ind w:firstLine="495"/>
        <w:rPr>
          <w:rFonts w:ascii="宋体" w:hAnsi="宋体"/>
          <w:bCs/>
          <w:sz w:val="24"/>
        </w:rPr>
      </w:pPr>
      <w:r>
        <w:rPr>
          <w:rFonts w:hint="eastAsia" w:ascii="宋体" w:hAnsi="宋体"/>
          <w:bCs/>
          <w:sz w:val="24"/>
        </w:rPr>
        <w:t>1.采购人名称：衢州学院</w:t>
      </w:r>
    </w:p>
    <w:p>
      <w:pPr>
        <w:spacing w:line="440" w:lineRule="exact"/>
        <w:ind w:firstLine="495"/>
        <w:rPr>
          <w:rFonts w:ascii="宋体" w:hAnsi="宋体"/>
          <w:bCs/>
          <w:sz w:val="24"/>
        </w:rPr>
      </w:pPr>
      <w:r>
        <w:rPr>
          <w:rFonts w:hint="eastAsia" w:ascii="宋体" w:hAnsi="宋体"/>
          <w:bCs/>
          <w:sz w:val="24"/>
        </w:rPr>
        <w:t>联系地址：浙江省衢州市九华北大道78号；邮政编码：324000。</w:t>
      </w:r>
    </w:p>
    <w:p>
      <w:pPr>
        <w:spacing w:line="440" w:lineRule="exact"/>
        <w:ind w:firstLine="495"/>
        <w:rPr>
          <w:rFonts w:ascii="宋体" w:hAnsi="宋体"/>
          <w:bCs/>
          <w:sz w:val="24"/>
        </w:rPr>
      </w:pPr>
      <w:r>
        <w:rPr>
          <w:rFonts w:hint="eastAsia" w:ascii="宋体" w:hAnsi="宋体"/>
          <w:bCs/>
          <w:sz w:val="24"/>
        </w:rPr>
        <w:t>采购中心联系人：周老师；电话（传真）：0570-8015042，18957039862。</w:t>
      </w:r>
    </w:p>
    <w:p>
      <w:pPr>
        <w:spacing w:line="440" w:lineRule="exact"/>
        <w:ind w:left="479" w:leftChars="228" w:firstLine="12" w:firstLineChars="5"/>
        <w:rPr>
          <w:rFonts w:ascii="宋体" w:hAnsi="宋体"/>
          <w:kern w:val="0"/>
          <w:sz w:val="24"/>
        </w:rPr>
      </w:pPr>
      <w:r>
        <w:rPr>
          <w:rFonts w:hint="eastAsia" w:ascii="宋体" w:hAnsi="宋体"/>
          <w:kern w:val="0"/>
          <w:sz w:val="24"/>
        </w:rPr>
        <w:t>质疑答复联系人：郑老师；电话（传真）0570-8015028。   </w:t>
      </w:r>
    </w:p>
    <w:p>
      <w:pPr>
        <w:spacing w:line="440" w:lineRule="exact"/>
        <w:ind w:left="479" w:leftChars="228" w:firstLine="12" w:firstLineChars="5"/>
        <w:rPr>
          <w:rFonts w:ascii="宋体" w:hAnsi="宋体"/>
          <w:bCs/>
          <w:color w:val="000000"/>
          <w:sz w:val="24"/>
        </w:rPr>
      </w:pPr>
      <w:r>
        <w:rPr>
          <w:rFonts w:hint="eastAsia" w:ascii="宋体" w:hAnsi="宋体"/>
          <w:bCs/>
          <w:sz w:val="24"/>
        </w:rPr>
        <w:t>项目技术答疑联系人</w:t>
      </w:r>
      <w:r>
        <w:rPr>
          <w:rFonts w:hint="eastAsia" w:ascii="宋体" w:hAnsi="宋体"/>
          <w:kern w:val="0"/>
          <w:sz w:val="24"/>
        </w:rPr>
        <w:t>：张老师</w:t>
      </w:r>
      <w:r>
        <w:rPr>
          <w:rFonts w:hint="eastAsia" w:ascii="宋体" w:hAnsi="宋体"/>
          <w:bCs/>
          <w:color w:val="000000"/>
          <w:sz w:val="24"/>
        </w:rPr>
        <w:t>，电话：</w:t>
      </w:r>
      <w:r>
        <w:rPr>
          <w:rFonts w:ascii="宋体" w:hAnsi="宋体"/>
          <w:bCs/>
          <w:color w:val="000000"/>
          <w:sz w:val="24"/>
        </w:rPr>
        <w:t>13819004659</w:t>
      </w:r>
      <w:r>
        <w:rPr>
          <w:rFonts w:hint="eastAsia" w:ascii="宋体" w:hAnsi="宋体"/>
          <w:bCs/>
          <w:color w:val="000000"/>
          <w:sz w:val="24"/>
        </w:rPr>
        <w:t>。</w:t>
      </w:r>
    </w:p>
    <w:p>
      <w:pPr>
        <w:spacing w:line="440" w:lineRule="exact"/>
        <w:ind w:firstLine="495"/>
        <w:rPr>
          <w:rFonts w:ascii="宋体" w:hAnsi="宋体"/>
          <w:bCs/>
          <w:sz w:val="24"/>
        </w:rPr>
      </w:pPr>
      <w:r>
        <w:rPr>
          <w:rFonts w:ascii="宋体" w:hAnsi="宋体"/>
          <w:bCs/>
          <w:sz w:val="24"/>
        </w:rPr>
        <w:t>2.同级政府采购监督管理部门名称：衢州市财政局。</w:t>
      </w:r>
    </w:p>
    <w:p>
      <w:pPr>
        <w:spacing w:line="440" w:lineRule="exact"/>
        <w:ind w:firstLine="495"/>
        <w:rPr>
          <w:rFonts w:ascii="宋体" w:hAnsi="宋体"/>
          <w:bCs/>
          <w:sz w:val="24"/>
        </w:rPr>
      </w:pPr>
      <w:r>
        <w:rPr>
          <w:rFonts w:ascii="宋体" w:hAnsi="宋体"/>
          <w:bCs/>
          <w:sz w:val="24"/>
        </w:rPr>
        <w:t>联系地址：衢州市三江东路28号；邮政编码：324000。</w:t>
      </w:r>
    </w:p>
    <w:p>
      <w:pPr>
        <w:spacing w:line="440" w:lineRule="exact"/>
        <w:ind w:firstLine="495"/>
        <w:rPr>
          <w:rFonts w:ascii="宋体" w:hAnsi="宋体"/>
          <w:bCs/>
          <w:sz w:val="24"/>
        </w:rPr>
      </w:pPr>
      <w:r>
        <w:rPr>
          <w:rFonts w:ascii="宋体" w:hAnsi="宋体"/>
          <w:bCs/>
          <w:sz w:val="24"/>
        </w:rPr>
        <w:t>联系人：</w:t>
      </w:r>
      <w:r>
        <w:rPr>
          <w:rFonts w:hint="eastAsia" w:ascii="宋体" w:hAnsi="宋体"/>
          <w:bCs/>
          <w:sz w:val="24"/>
        </w:rPr>
        <w:t>徐</w:t>
      </w:r>
      <w:r>
        <w:rPr>
          <w:rFonts w:ascii="宋体" w:hAnsi="宋体"/>
          <w:bCs/>
          <w:sz w:val="24"/>
        </w:rPr>
        <w:t>先生；监督投诉电话：0570-8757615，传真：0570-8757615 。</w:t>
      </w:r>
    </w:p>
    <w:p>
      <w:pPr>
        <w:spacing w:line="440" w:lineRule="exact"/>
        <w:ind w:right="480" w:firstLine="495"/>
        <w:jc w:val="right"/>
        <w:rPr>
          <w:rFonts w:ascii="宋体" w:hAnsi="宋体"/>
          <w:bCs/>
          <w:sz w:val="24"/>
        </w:rPr>
      </w:pPr>
    </w:p>
    <w:p>
      <w:pPr>
        <w:spacing w:line="440" w:lineRule="exact"/>
        <w:ind w:firstLine="495"/>
        <w:jc w:val="righ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衢州学院采购中心</w:t>
      </w:r>
    </w:p>
    <w:p>
      <w:pPr>
        <w:spacing w:line="440" w:lineRule="exact"/>
        <w:ind w:firstLine="495"/>
        <w:jc w:val="right"/>
        <w:rPr>
          <w:rFonts w:ascii="宋体" w:hAnsi="宋体"/>
          <w:bCs/>
          <w:color w:val="0070C0"/>
          <w:sz w:val="24"/>
        </w:rPr>
      </w:pPr>
      <w:r>
        <w:rPr>
          <w:rFonts w:hint="eastAsia" w:ascii="宋体" w:hAnsi="宋体"/>
          <w:bCs/>
          <w:color w:val="000000" w:themeColor="text1"/>
          <w:sz w:val="24"/>
          <w14:textFill>
            <w14:solidFill>
              <w14:schemeClr w14:val="tx1"/>
            </w14:solidFill>
          </w14:textFill>
        </w:rPr>
        <w:t>2021年4月23日</w:t>
      </w:r>
    </w:p>
    <w:p>
      <w:pPr>
        <w:spacing w:line="360" w:lineRule="auto"/>
        <w:jc w:val="center"/>
        <w:rPr>
          <w:rFonts w:ascii="宋体" w:hAnsi="宋体"/>
          <w:bCs/>
          <w:color w:val="000000"/>
          <w:sz w:val="32"/>
        </w:rPr>
      </w:pPr>
      <w:r>
        <w:rPr>
          <w:rFonts w:ascii="宋体" w:hAnsi="宋体"/>
          <w:bCs/>
          <w:color w:val="000000"/>
          <w:sz w:val="32"/>
        </w:rPr>
        <w:br w:type="page"/>
      </w:r>
      <w:r>
        <w:rPr>
          <w:rFonts w:hint="eastAsia" w:ascii="宋体" w:hAnsi="宋体"/>
          <w:b/>
          <w:bCs/>
          <w:color w:val="000000"/>
          <w:sz w:val="32"/>
        </w:rPr>
        <w:t>第二章   投标须知</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一、总则</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（一）适用范围</w:t>
      </w:r>
    </w:p>
    <w:p>
      <w:pPr>
        <w:autoSpaceDE w:val="0"/>
        <w:autoSpaceDN w:val="0"/>
        <w:adjustRightInd w:val="0"/>
        <w:spacing w:line="360" w:lineRule="auto"/>
        <w:ind w:firstLine="560"/>
        <w:jc w:val="left"/>
        <w:rPr>
          <w:rFonts w:ascii="宋体" w:hAnsi="宋体"/>
          <w:color w:val="000000"/>
          <w:sz w:val="24"/>
        </w:rPr>
      </w:pPr>
      <w:r>
        <w:rPr>
          <w:rFonts w:hint="eastAsia" w:ascii="宋体" w:hAnsi="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（二）定义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1.“招标人”系组织本次招标的衢州学院。</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b/>
          <w:bCs/>
          <w:color w:val="000000"/>
          <w:sz w:val="24"/>
        </w:rPr>
      </w:pPr>
      <w:r>
        <w:rPr>
          <w:rFonts w:hint="eastAsia" w:ascii="宋体" w:hAnsi="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（三）招标方式</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（四）投标委托</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本项目原则上采用远程异地开评标，供应商无需到开标现场，但须准时在线参加，直至评审结束。</w:t>
      </w:r>
      <w:r>
        <w:rPr>
          <w:rFonts w:ascii="宋体" w:hAnsi="宋体"/>
          <w:color w:val="FF0000"/>
          <w:sz w:val="24"/>
        </w:rPr>
        <w:t>投标截止时间后投标人凭CA数字证书登录政采云平台完成投标文件解密。</w:t>
      </w:r>
      <w:r>
        <w:rPr>
          <w:rFonts w:hint="eastAsia" w:ascii="宋体" w:hAnsi="宋体"/>
          <w:color w:val="FF0000"/>
          <w:sz w:val="24"/>
        </w:rPr>
        <w:t>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（五）合格的投标人</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响应招标文件要求，有提供服务能力，具备本招标文件中规定条件的供应商（详见第一章第四条“</w:t>
      </w:r>
      <w:r>
        <w:rPr>
          <w:rFonts w:hint="eastAsia" w:ascii="宋体" w:hAnsi="宋体"/>
          <w:b/>
          <w:color w:val="000000"/>
          <w:sz w:val="24"/>
        </w:rPr>
        <w:t>投标人的资格要求</w:t>
      </w:r>
      <w:r>
        <w:rPr>
          <w:rFonts w:hint="eastAsia" w:ascii="宋体" w:hAnsi="宋体"/>
          <w:color w:val="000000"/>
          <w:sz w:val="24"/>
        </w:rPr>
        <w:t>”）。</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（六）投标费用</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无论投标过程和结果如何，投标人均应自行承担所有与投标有关的全部费用。</w:t>
      </w:r>
    </w:p>
    <w:p>
      <w:pPr>
        <w:snapToGrid w:val="0"/>
        <w:spacing w:line="360" w:lineRule="auto"/>
        <w:ind w:left="455"/>
        <w:rPr>
          <w:rFonts w:ascii="宋体" w:hAnsi="宋体"/>
          <w:b/>
          <w:color w:val="000000"/>
          <w:sz w:val="24"/>
        </w:rPr>
      </w:pPr>
      <w:r>
        <w:rPr>
          <w:rFonts w:hint="eastAsia" w:ascii="宋体" w:hAnsi="宋体"/>
          <w:b/>
          <w:color w:val="000000"/>
          <w:sz w:val="24"/>
        </w:rPr>
        <w:t>（七）转包与分包</w:t>
      </w:r>
    </w:p>
    <w:p>
      <w:pPr>
        <w:snapToGrid w:val="0"/>
        <w:spacing w:line="360" w:lineRule="auto"/>
        <w:ind w:firstLine="480" w:firstLineChars="200"/>
        <w:rPr>
          <w:rFonts w:ascii="宋体" w:hAnsi="宋体"/>
          <w:color w:val="000000"/>
          <w:sz w:val="24"/>
        </w:rPr>
      </w:pPr>
      <w:r>
        <w:rPr>
          <w:rFonts w:hint="eastAsia" w:ascii="宋体" w:hAnsi="宋体"/>
          <w:color w:val="000000"/>
          <w:sz w:val="24"/>
        </w:rPr>
        <w:t>本项目不允许转包。分包须经采购人书面同意后方可实施。</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（八）信用查询</w:t>
      </w:r>
    </w:p>
    <w:p>
      <w:pPr>
        <w:pStyle w:val="10"/>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根据《关于在政府采购活动中查询及使用信用记录有关问题的通知》财库[2016]125号的规定：</w:t>
      </w:r>
    </w:p>
    <w:p>
      <w:pPr>
        <w:pStyle w:val="10"/>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1.采购人或采购代理机构将对本项目投标人的信用记录进行查询。查询渠道为信用中国网站（www.creditchina.gov.cn）、中国政府采购网（www.ccgp.gov.cn）；</w:t>
      </w:r>
    </w:p>
    <w:p>
      <w:pPr>
        <w:pStyle w:val="10"/>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2.截止时点：提交投标文件（响应文件）截止时间前3年内；</w:t>
      </w:r>
    </w:p>
    <w:p>
      <w:pPr>
        <w:pStyle w:val="10"/>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10"/>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olor w:val="000000"/>
          <w:sz w:val="24"/>
        </w:rPr>
      </w:pPr>
      <w:r>
        <w:rPr>
          <w:rFonts w:hint="eastAsia" w:ascii="宋体" w:hAnsi="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（九）特别说明</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1.</w:t>
      </w:r>
      <w:r>
        <w:rPr>
          <w:rFonts w:ascii="宋体" w:hAnsi="宋体"/>
          <w:color w:val="000000"/>
          <w:sz w:val="24"/>
        </w:rPr>
        <w:t>提供相同品牌产品</w:t>
      </w:r>
      <w:r>
        <w:rPr>
          <w:rFonts w:hint="eastAsia" w:ascii="宋体" w:hAnsi="宋体"/>
          <w:color w:val="000000"/>
          <w:sz w:val="24"/>
        </w:rPr>
        <w:t>(指核心产品)</w:t>
      </w:r>
      <w:r>
        <w:rPr>
          <w:rFonts w:ascii="宋体" w:hAnsi="宋体"/>
          <w:color w:val="000000"/>
          <w:sz w:val="24"/>
        </w:rPr>
        <w:t>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二、招标文件</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（一）招标文件的构成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1. 招标公告；</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2. 投标须知；</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3. 采购内容及要求；</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4. 合同主要条款；</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5. 评标办法及开标程序；</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（二）招标文件的澄清与修改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b/>
          <w:color w:val="000000"/>
          <w:sz w:val="24"/>
        </w:rPr>
      </w:pPr>
      <w:r>
        <w:rPr>
          <w:rFonts w:hint="eastAsia" w:ascii="宋体" w:hAnsi="宋体"/>
          <w:b/>
          <w:color w:val="000000"/>
          <w:sz w:val="24"/>
        </w:rPr>
        <w:t>三、投标文件的编写</w:t>
      </w:r>
    </w:p>
    <w:p>
      <w:pPr>
        <w:spacing w:line="360" w:lineRule="auto"/>
        <w:ind w:firstLine="472" w:firstLineChars="196"/>
        <w:outlineLvl w:val="2"/>
        <w:rPr>
          <w:rFonts w:ascii="宋体" w:hAnsi="宋体"/>
          <w:b/>
          <w:color w:val="000000"/>
          <w:sz w:val="24"/>
        </w:rPr>
      </w:pPr>
      <w:r>
        <w:rPr>
          <w:rFonts w:hint="eastAsia" w:ascii="宋体" w:hAnsi="宋体"/>
          <w:b/>
          <w:color w:val="000000"/>
          <w:sz w:val="24"/>
        </w:rPr>
        <w:t>（一）总体要求</w:t>
      </w:r>
    </w:p>
    <w:p>
      <w:pPr>
        <w:spacing w:line="360" w:lineRule="auto"/>
        <w:ind w:firstLine="480" w:firstLineChars="200"/>
        <w:rPr>
          <w:rFonts w:ascii="宋体" w:hAnsi="宋体"/>
          <w:color w:val="000000"/>
          <w:sz w:val="24"/>
        </w:rPr>
      </w:pPr>
      <w:r>
        <w:rPr>
          <w:rFonts w:hint="eastAsia" w:ascii="宋体" w:hAnsi="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pacing w:line="360" w:lineRule="auto"/>
        <w:ind w:firstLine="480" w:firstLineChars="200"/>
        <w:rPr>
          <w:rFonts w:ascii="宋体" w:hAnsi="宋体"/>
          <w:color w:val="FF0000"/>
          <w:sz w:val="24"/>
        </w:rPr>
      </w:pPr>
      <w:r>
        <w:rPr>
          <w:rFonts w:hint="eastAsia" w:ascii="宋体" w:hAnsi="宋体"/>
          <w:color w:val="FF0000"/>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olor w:val="000000"/>
          <w:sz w:val="24"/>
        </w:rPr>
      </w:pPr>
      <w:r>
        <w:rPr>
          <w:rFonts w:hint="eastAsia" w:ascii="宋体" w:hAnsi="宋体"/>
          <w:color w:val="000000"/>
          <w:sz w:val="24"/>
        </w:rPr>
        <w:t>3. 投标人必须保证投标文件所提供的全部资料真实可靠，并接受招标人对其中任何资料进一步审查的要求。</w:t>
      </w:r>
    </w:p>
    <w:p>
      <w:pPr>
        <w:spacing w:line="360" w:lineRule="auto"/>
        <w:ind w:firstLine="480" w:firstLineChars="200"/>
        <w:rPr>
          <w:rFonts w:ascii="宋体" w:hAnsi="宋体"/>
          <w:color w:val="000000"/>
          <w:sz w:val="24"/>
        </w:rPr>
      </w:pPr>
      <w:r>
        <w:rPr>
          <w:rFonts w:hint="eastAsia" w:ascii="宋体" w:hAnsi="宋体"/>
          <w:color w:val="000000"/>
          <w:sz w:val="24"/>
        </w:rPr>
        <w:t>4. 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olor w:val="000000"/>
          <w:sz w:val="24"/>
        </w:rPr>
      </w:pPr>
      <w:r>
        <w:rPr>
          <w:rFonts w:hint="eastAsia" w:ascii="宋体" w:hAnsi="宋体"/>
          <w:color w:val="000000"/>
          <w:sz w:val="24"/>
        </w:rPr>
        <w:t>6.《开标一览表》要求按格式填写、统一规范，不得自行增减内容。</w:t>
      </w:r>
    </w:p>
    <w:p>
      <w:pPr>
        <w:snapToGrid w:val="0"/>
        <w:spacing w:line="360" w:lineRule="auto"/>
        <w:ind w:firstLine="480" w:firstLineChars="200"/>
        <w:rPr>
          <w:rFonts w:ascii="宋体" w:hAnsi="宋体"/>
          <w:color w:val="000000"/>
          <w:sz w:val="24"/>
        </w:rPr>
      </w:pPr>
      <w:r>
        <w:rPr>
          <w:rFonts w:hint="eastAsia" w:ascii="宋体" w:hAnsi="宋体"/>
          <w:color w:val="000000"/>
          <w:sz w:val="24"/>
        </w:rPr>
        <w:t>7.投标文件不得涂改和增删，如有错漏必须修改。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8.由于字迹模糊或表达不清引起的后果由投标人负责。</w:t>
      </w:r>
    </w:p>
    <w:p>
      <w:pPr>
        <w:snapToGrid w:val="0"/>
        <w:spacing w:line="360" w:lineRule="auto"/>
        <w:ind w:firstLine="480" w:firstLineChars="200"/>
        <w:rPr>
          <w:rFonts w:ascii="宋体" w:hAnsi="宋体"/>
          <w:color w:val="000000"/>
          <w:sz w:val="24"/>
        </w:rPr>
      </w:pPr>
      <w:r>
        <w:rPr>
          <w:rFonts w:hint="eastAsia" w:ascii="宋体" w:hAnsi="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olor w:val="000000"/>
          <w:sz w:val="24"/>
        </w:rPr>
      </w:pPr>
      <w:r>
        <w:rPr>
          <w:rFonts w:hint="eastAsia" w:ascii="宋体" w:hAnsi="宋体"/>
          <w:color w:val="FF0000"/>
          <w:sz w:val="24"/>
        </w:rPr>
        <w:t>10.电子投标文件中须加盖公章部分均采用CA签章。</w:t>
      </w:r>
    </w:p>
    <w:p>
      <w:pPr>
        <w:spacing w:line="360" w:lineRule="auto"/>
        <w:ind w:firstLine="482" w:firstLineChars="200"/>
        <w:outlineLvl w:val="2"/>
        <w:rPr>
          <w:rFonts w:ascii="宋体" w:hAnsi="宋体"/>
          <w:b/>
          <w:color w:val="000000"/>
          <w:sz w:val="24"/>
        </w:rPr>
      </w:pPr>
      <w:r>
        <w:rPr>
          <w:rFonts w:hint="eastAsia" w:ascii="宋体" w:hAnsi="宋体"/>
          <w:b/>
          <w:color w:val="000000"/>
          <w:sz w:val="24"/>
        </w:rPr>
        <w:t>（二）投标文件的组成</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▲投标文件（电子投标文件）应分为【资格证明文件】、【商务技术文件】、【报价文件】。</w:t>
      </w:r>
    </w:p>
    <w:p>
      <w:pPr>
        <w:spacing w:line="360" w:lineRule="auto"/>
        <w:ind w:firstLine="482" w:firstLineChars="200"/>
        <w:rPr>
          <w:rFonts w:ascii="宋体" w:hAnsi="宋体"/>
          <w:b/>
          <w:color w:val="000000"/>
          <w:sz w:val="24"/>
        </w:rPr>
      </w:pPr>
      <w:r>
        <w:rPr>
          <w:rFonts w:hint="eastAsia" w:ascii="宋体" w:hAnsi="宋体"/>
          <w:b/>
          <w:color w:val="000000"/>
          <w:sz w:val="24"/>
        </w:rPr>
        <w:t>1.资格证明文件内容</w:t>
      </w:r>
    </w:p>
    <w:tbl>
      <w:tblPr>
        <w:tblStyle w:val="16"/>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1-7</w:t>
            </w:r>
          </w:p>
        </w:tc>
      </w:tr>
    </w:tbl>
    <w:p>
      <w:pPr>
        <w:spacing w:line="360" w:lineRule="auto"/>
        <w:ind w:firstLine="241" w:firstLineChars="100"/>
        <w:rPr>
          <w:rFonts w:ascii="宋体" w:hAnsi="宋体"/>
          <w:b/>
          <w:color w:val="000000"/>
          <w:sz w:val="24"/>
        </w:rPr>
      </w:pPr>
      <w:r>
        <w:rPr>
          <w:rFonts w:hint="eastAsia" w:ascii="宋体" w:hAnsi="宋体"/>
          <w:b/>
          <w:color w:val="000000"/>
          <w:sz w:val="24"/>
        </w:rPr>
        <w:t>2.商务技术文件内容</w:t>
      </w:r>
    </w:p>
    <w:tbl>
      <w:tblPr>
        <w:tblStyle w:val="16"/>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商务</w:t>
            </w:r>
            <w:r>
              <w:rPr>
                <w:rFonts w:ascii="宋体" w:hAnsi="宋体"/>
                <w:color w:val="000000"/>
                <w:sz w:val="24"/>
              </w:rPr>
              <w:t>技术文件封面</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格式一</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olor w:val="000000"/>
                <w:sz w:val="24"/>
              </w:rPr>
            </w:pPr>
            <w:r>
              <w:rPr>
                <w:rFonts w:ascii="宋体" w:hAnsi="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▲4.</w:t>
            </w:r>
            <w:r>
              <w:rPr>
                <w:rFonts w:ascii="宋体" w:hAnsi="宋体"/>
                <w:b/>
                <w:color w:val="000000"/>
                <w:sz w:val="24"/>
              </w:rPr>
              <w:t>规格、技术参数偏离表</w:t>
            </w:r>
            <w:r>
              <w:rPr>
                <w:rFonts w:ascii="宋体" w:hAnsi="宋体"/>
                <w:bCs/>
                <w:color w:val="000000"/>
                <w:sz w:val="24"/>
              </w:rPr>
              <w:t>：要求</w:t>
            </w:r>
            <w:r>
              <w:rPr>
                <w:rFonts w:ascii="宋体" w:hAnsi="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六</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w:t>
            </w:r>
            <w:r>
              <w:rPr>
                <w:rFonts w:ascii="宋体" w:hAnsi="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七</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8.</w:t>
            </w:r>
            <w:r>
              <w:rPr>
                <w:rFonts w:hint="eastAsia" w:ascii="宋体" w:hAnsi="宋体"/>
                <w:b/>
                <w:bCs/>
                <w:color w:val="000000"/>
                <w:sz w:val="24"/>
              </w:rPr>
              <w:t>投标人</w:t>
            </w:r>
            <w:r>
              <w:rPr>
                <w:rFonts w:ascii="宋体" w:hAnsi="宋体"/>
                <w:bCs/>
                <w:color w:val="000000"/>
                <w:kern w:val="0"/>
                <w:sz w:val="24"/>
                <w:lang w:val="zh-CN"/>
              </w:rPr>
              <w:t>同类项目实施情况一览表</w:t>
            </w:r>
            <w:r>
              <w:rPr>
                <w:rFonts w:hint="eastAsia" w:ascii="宋体" w:hAnsi="宋体"/>
                <w:color w:val="000000"/>
                <w:sz w:val="24"/>
              </w:rPr>
              <w:t>，须提供</w:t>
            </w:r>
            <w:r>
              <w:rPr>
                <w:rFonts w:ascii="宋体" w:hAnsi="宋体"/>
                <w:bCs/>
                <w:color w:val="FF0000"/>
                <w:kern w:val="0"/>
                <w:sz w:val="24"/>
                <w:lang w:val="zh-CN"/>
              </w:rPr>
              <w:t>201</w:t>
            </w:r>
            <w:r>
              <w:rPr>
                <w:rFonts w:hint="eastAsia" w:ascii="宋体" w:hAnsi="宋体"/>
                <w:bCs/>
                <w:color w:val="FF0000"/>
                <w:kern w:val="0"/>
                <w:sz w:val="24"/>
              </w:rPr>
              <w:t>8</w:t>
            </w:r>
            <w:r>
              <w:rPr>
                <w:rFonts w:ascii="宋体" w:hAnsi="宋体"/>
                <w:bCs/>
                <w:color w:val="FF0000"/>
                <w:kern w:val="0"/>
                <w:sz w:val="24"/>
                <w:lang w:val="zh-CN"/>
              </w:rPr>
              <w:t>年</w:t>
            </w:r>
            <w:r>
              <w:rPr>
                <w:rFonts w:hint="eastAsia" w:ascii="宋体" w:hAnsi="宋体"/>
                <w:bCs/>
                <w:color w:val="FF0000"/>
                <w:kern w:val="0"/>
                <w:sz w:val="24"/>
                <w:lang w:val="zh-CN"/>
              </w:rPr>
              <w:t>1</w:t>
            </w:r>
            <w:r>
              <w:rPr>
                <w:rFonts w:ascii="宋体" w:hAnsi="宋体"/>
                <w:bCs/>
                <w:color w:val="FF0000"/>
                <w:kern w:val="0"/>
                <w:sz w:val="24"/>
                <w:lang w:val="zh-CN"/>
              </w:rPr>
              <w:t>月</w:t>
            </w:r>
            <w:r>
              <w:rPr>
                <w:rFonts w:hint="eastAsia" w:ascii="宋体" w:hAnsi="宋体"/>
                <w:bCs/>
                <w:color w:val="FF0000"/>
                <w:kern w:val="0"/>
                <w:sz w:val="24"/>
              </w:rPr>
              <w:t>1</w:t>
            </w:r>
            <w:r>
              <w:rPr>
                <w:rFonts w:hint="eastAsia" w:ascii="宋体" w:hAnsi="宋体"/>
                <w:bCs/>
                <w:color w:val="000000"/>
                <w:kern w:val="0"/>
                <w:sz w:val="24"/>
              </w:rPr>
              <w:t>日</w:t>
            </w:r>
            <w:r>
              <w:rPr>
                <w:rFonts w:hint="eastAsia" w:ascii="宋体" w:hAnsi="宋体"/>
                <w:bCs/>
                <w:color w:val="000000"/>
                <w:kern w:val="0"/>
                <w:sz w:val="24"/>
                <w:lang w:val="zh-CN"/>
              </w:rPr>
              <w:t>以来（以合同签订时间为准）</w:t>
            </w:r>
            <w:r>
              <w:rPr>
                <w:rFonts w:ascii="宋体" w:hAnsi="宋体"/>
                <w:color w:val="000000"/>
                <w:sz w:val="24"/>
              </w:rPr>
              <w:t>至今实施的</w:t>
            </w:r>
            <w:r>
              <w:rPr>
                <w:rFonts w:hint="eastAsia" w:ascii="宋体" w:hAnsi="宋体"/>
                <w:color w:val="000000"/>
                <w:sz w:val="24"/>
              </w:rPr>
              <w:t>同类项目（机器人基础训练设备）</w:t>
            </w:r>
            <w:r>
              <w:rPr>
                <w:rFonts w:ascii="宋体" w:hAnsi="宋体"/>
                <w:color w:val="000000"/>
                <w:sz w:val="24"/>
              </w:rPr>
              <w:t>合同</w:t>
            </w:r>
            <w:r>
              <w:rPr>
                <w:rFonts w:hint="eastAsia" w:ascii="宋体" w:hAnsi="宋体"/>
                <w:color w:val="000000"/>
                <w:sz w:val="24"/>
              </w:rPr>
              <w:t>原件的扫描件</w:t>
            </w:r>
          </w:p>
        </w:tc>
        <w:tc>
          <w:tcPr>
            <w:tcW w:w="1011"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格式八</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olor w:val="000000"/>
                <w:kern w:val="0"/>
                <w:sz w:val="24"/>
              </w:rPr>
            </w:pPr>
            <w:r>
              <w:rPr>
                <w:rFonts w:hint="eastAsia" w:ascii="宋体" w:hAnsi="宋体"/>
                <w:color w:val="000000"/>
                <w:sz w:val="24"/>
              </w:rPr>
              <w:t>9</w:t>
            </w:r>
            <w:r>
              <w:rPr>
                <w:rFonts w:ascii="宋体" w:hAnsi="宋体"/>
                <w:color w:val="000000"/>
                <w:sz w:val="24"/>
              </w:rPr>
              <w:t>.行业测评资料及用户使用情况反馈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10.</w:t>
            </w:r>
            <w:r>
              <w:rPr>
                <w:rFonts w:ascii="宋体" w:hAnsi="宋体"/>
                <w:color w:val="000000"/>
                <w:sz w:val="24"/>
              </w:rPr>
              <w:t>投标人认为有必要提供的其它资料</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2-11</w:t>
            </w:r>
          </w:p>
        </w:tc>
      </w:tr>
    </w:tbl>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3.报价文件内容</w:t>
      </w:r>
    </w:p>
    <w:tbl>
      <w:tblPr>
        <w:tblStyle w:val="16"/>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格式</w:t>
            </w:r>
          </w:p>
        </w:tc>
        <w:tc>
          <w:tcPr>
            <w:tcW w:w="1201"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sz w:val="24"/>
              </w:rPr>
            </w:pPr>
            <w:r>
              <w:rPr>
                <w:rFonts w:hint="eastAsia" w:ascii="宋体" w:hAnsi="宋体"/>
                <w:sz w:val="24"/>
              </w:rPr>
              <w:t>报价文件封面</w:t>
            </w:r>
          </w:p>
        </w:tc>
        <w:tc>
          <w:tcPr>
            <w:tcW w:w="1197" w:type="dxa"/>
          </w:tcPr>
          <w:p>
            <w:pPr>
              <w:autoSpaceDE w:val="0"/>
              <w:autoSpaceDN w:val="0"/>
              <w:adjustRightInd w:val="0"/>
              <w:spacing w:line="360" w:lineRule="auto"/>
              <w:jc w:val="center"/>
              <w:rPr>
                <w:rFonts w:ascii="宋体" w:hAnsi="宋体"/>
                <w:sz w:val="24"/>
              </w:rPr>
            </w:pPr>
            <w:r>
              <w:rPr>
                <w:rFonts w:hint="eastAsia" w:ascii="宋体" w:hAnsi="宋体"/>
                <w:sz w:val="24"/>
              </w:rPr>
              <w:t>格式一</w:t>
            </w: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olor w:val="000000"/>
                <w:sz w:val="24"/>
              </w:rPr>
            </w:pPr>
            <w:r>
              <w:rPr>
                <w:rFonts w:hint="eastAsia" w:ascii="宋体" w:hAnsi="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格式四</w:t>
            </w: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0"/>
              <w:spacing w:line="360" w:lineRule="auto"/>
              <w:rPr>
                <w:rFonts w:hAnsi="宋体"/>
                <w:b/>
                <w:bCs/>
                <w:color w:val="000000"/>
                <w:kern w:val="2"/>
                <w:sz w:val="24"/>
                <w:szCs w:val="24"/>
                <w:lang w:val="zh-CN"/>
              </w:rPr>
            </w:pPr>
            <w:r>
              <w:rPr>
                <w:rFonts w:hint="eastAsia" w:hAnsi="宋体"/>
                <w:color w:val="000000"/>
                <w:kern w:val="2"/>
                <w:sz w:val="24"/>
                <w:szCs w:val="24"/>
              </w:rPr>
              <w:t>▲2.货物清单及报价明细表</w:t>
            </w:r>
            <w:r>
              <w:rPr>
                <w:rFonts w:hint="eastAsia" w:hAnsi="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格式五</w:t>
            </w:r>
          </w:p>
        </w:tc>
        <w:tc>
          <w:tcPr>
            <w:tcW w:w="1201"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sz w:val="24"/>
              </w:rPr>
            </w:pPr>
            <w:r>
              <w:rPr>
                <w:rFonts w:hint="eastAsia"/>
                <w:sz w:val="24"/>
              </w:rPr>
              <w:t>3.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1197" w:type="dxa"/>
          </w:tcPr>
          <w:p>
            <w:pPr>
              <w:autoSpaceDE w:val="0"/>
              <w:autoSpaceDN w:val="0"/>
              <w:adjustRightInd w:val="0"/>
              <w:spacing w:line="360" w:lineRule="auto"/>
              <w:jc w:val="center"/>
              <w:rPr>
                <w:sz w:val="24"/>
              </w:rPr>
            </w:pPr>
          </w:p>
          <w:p>
            <w:pPr>
              <w:autoSpaceDE w:val="0"/>
              <w:autoSpaceDN w:val="0"/>
              <w:adjustRightInd w:val="0"/>
              <w:spacing w:line="360" w:lineRule="auto"/>
              <w:jc w:val="center"/>
              <w:rPr>
                <w:sz w:val="24"/>
              </w:rPr>
            </w:pPr>
            <w:r>
              <w:rPr>
                <w:rFonts w:hint="eastAsia"/>
                <w:sz w:val="24"/>
              </w:rPr>
              <w:t>格式九</w:t>
            </w:r>
          </w:p>
          <w:p>
            <w:pPr>
              <w:autoSpaceDE w:val="0"/>
              <w:autoSpaceDN w:val="0"/>
              <w:adjustRightInd w:val="0"/>
              <w:spacing w:line="360" w:lineRule="auto"/>
              <w:jc w:val="center"/>
              <w:rPr>
                <w:sz w:val="24"/>
              </w:rPr>
            </w:pPr>
            <w:r>
              <w:rPr>
                <w:rFonts w:hint="eastAsia"/>
                <w:sz w:val="24"/>
              </w:rPr>
              <w:t>~</w:t>
            </w:r>
          </w:p>
          <w:p>
            <w:pPr>
              <w:autoSpaceDE w:val="0"/>
              <w:autoSpaceDN w:val="0"/>
              <w:adjustRightInd w:val="0"/>
              <w:spacing w:line="360" w:lineRule="auto"/>
              <w:jc w:val="center"/>
              <w:rPr>
                <w:rFonts w:ascii="宋体" w:hAnsi="宋体"/>
                <w:sz w:val="24"/>
              </w:rPr>
            </w:pPr>
            <w:r>
              <w:rPr>
                <w:rFonts w:hint="eastAsia"/>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20"/>
              <w:spacing w:line="360" w:lineRule="auto"/>
              <w:rPr>
                <w:rFonts w:ascii="宋体" w:hAnsi="宋体"/>
                <w:sz w:val="24"/>
              </w:rPr>
            </w:pPr>
            <w:r>
              <w:rPr>
                <w:rFonts w:hint="eastAsia"/>
                <w:sz w:val="24"/>
              </w:rPr>
              <w:t>4</w:t>
            </w:r>
            <w:r>
              <w:rPr>
                <w:sz w:val="24"/>
              </w:rPr>
              <w:t>.投标人认为有必要提供的其他资料</w:t>
            </w:r>
          </w:p>
        </w:tc>
        <w:tc>
          <w:tcPr>
            <w:tcW w:w="1197" w:type="dxa"/>
          </w:tcPr>
          <w:p>
            <w:pPr>
              <w:autoSpaceDE w:val="0"/>
              <w:autoSpaceDN w:val="0"/>
              <w:adjustRightInd w:val="0"/>
              <w:spacing w:line="360" w:lineRule="auto"/>
              <w:jc w:val="center"/>
              <w:rPr>
                <w:rFonts w:ascii="宋体" w:hAnsi="宋体"/>
                <w:sz w:val="24"/>
              </w:rPr>
            </w:pPr>
          </w:p>
        </w:tc>
        <w:tc>
          <w:tcPr>
            <w:tcW w:w="1201"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（三）投标文件的语言及计量</w:t>
      </w:r>
    </w:p>
    <w:p>
      <w:pPr>
        <w:autoSpaceDE w:val="0"/>
        <w:autoSpaceDN w:val="0"/>
        <w:adjustRightInd w:val="0"/>
        <w:spacing w:line="360" w:lineRule="auto"/>
        <w:ind w:firstLine="472" w:firstLineChars="196"/>
        <w:rPr>
          <w:rFonts w:ascii="宋体" w:hAnsi="宋体"/>
          <w:color w:val="000000"/>
          <w:sz w:val="24"/>
        </w:rPr>
      </w:pPr>
      <w:r>
        <w:rPr>
          <w:rFonts w:hint="eastAsia" w:ascii="宋体" w:hAnsi="宋体"/>
          <w:b/>
          <w:color w:val="000000"/>
          <w:sz w:val="24"/>
        </w:rPr>
        <w:t>▲</w:t>
      </w:r>
      <w:r>
        <w:rPr>
          <w:rFonts w:hint="eastAsia" w:ascii="宋体" w:hAnsi="宋体"/>
          <w:color w:val="000000"/>
          <w:sz w:val="24"/>
        </w:rPr>
        <w:t>1. 投标文件及投标人与采购有关的来往通知、函件和文件均应使用中文。</w:t>
      </w:r>
    </w:p>
    <w:p>
      <w:pPr>
        <w:spacing w:line="360" w:lineRule="auto"/>
        <w:ind w:firstLine="479" w:firstLineChars="199"/>
        <w:rPr>
          <w:rFonts w:ascii="宋体" w:hAnsi="宋体"/>
          <w:color w:val="000000"/>
          <w:sz w:val="24"/>
        </w:rPr>
      </w:pPr>
      <w:r>
        <w:rPr>
          <w:rFonts w:hint="eastAsia" w:ascii="宋体" w:hAnsi="宋体"/>
          <w:b/>
          <w:color w:val="000000"/>
          <w:sz w:val="24"/>
        </w:rPr>
        <w:t>▲</w:t>
      </w:r>
      <w:r>
        <w:rPr>
          <w:rFonts w:hint="eastAsia" w:ascii="宋体" w:hAnsi="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（四）投标报价</w:t>
      </w:r>
    </w:p>
    <w:p>
      <w:pPr>
        <w:autoSpaceDE w:val="0"/>
        <w:autoSpaceDN w:val="0"/>
        <w:adjustRightInd w:val="0"/>
        <w:spacing w:line="360" w:lineRule="auto"/>
        <w:ind w:left="472"/>
        <w:jc w:val="left"/>
        <w:outlineLvl w:val="2"/>
        <w:rPr>
          <w:rFonts w:ascii="宋体" w:hAnsi="宋体"/>
          <w:b/>
          <w:color w:val="000000"/>
          <w:sz w:val="24"/>
        </w:rPr>
      </w:pPr>
      <w:r>
        <w:rPr>
          <w:rFonts w:hint="eastAsia" w:ascii="宋体" w:hAnsi="宋体"/>
          <w:color w:val="000000"/>
          <w:sz w:val="24"/>
        </w:rPr>
        <w:t>1.投标报价应按招标文件中相关附表格式填写。</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2.投标报价是履行合同的最终价格，应包括货款、标准附件、包装运输、送货、保险，以及安装、调试、培训、全额含税发票、雇员费用、合同实施过程中的应预见和不可预见等一切费用。</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（五）投标有效期</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b/>
          <w:color w:val="000000"/>
          <w:sz w:val="24"/>
        </w:rPr>
      </w:pPr>
      <w:r>
        <w:rPr>
          <w:rFonts w:hint="eastAsia" w:ascii="宋体" w:hAnsi="宋体"/>
          <w:b/>
          <w:color w:val="000000"/>
          <w:sz w:val="24"/>
        </w:rPr>
        <w:t>（六）投标文件的签署及规定</w:t>
      </w:r>
    </w:p>
    <w:p>
      <w:pPr>
        <w:spacing w:line="500" w:lineRule="exact"/>
        <w:ind w:firstLine="480" w:firstLineChars="200"/>
        <w:rPr>
          <w:rFonts w:ascii="宋体" w:hAnsi="宋体"/>
          <w:color w:val="FF0000"/>
          <w:sz w:val="24"/>
        </w:rPr>
      </w:pPr>
      <w:r>
        <w:rPr>
          <w:rFonts w:hint="eastAsia" w:ascii="宋体" w:hAnsi="宋体"/>
          <w:color w:val="FF0000"/>
          <w:sz w:val="24"/>
        </w:rPr>
        <w:t>电子投标文件</w:t>
      </w:r>
      <w:r>
        <w:rPr>
          <w:rFonts w:hint="eastAsia" w:ascii="宋体" w:hAnsi="宋体" w:cs="仿宋_GB2312"/>
          <w:color w:val="FF0000"/>
          <w:sz w:val="24"/>
        </w:rPr>
        <w:t>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b/>
          <w:sz w:val="24"/>
        </w:rPr>
      </w:pPr>
      <w:r>
        <w:rPr>
          <w:rFonts w:hint="eastAsia" w:ascii="宋体" w:hAnsi="宋体"/>
          <w:sz w:val="24"/>
        </w:rPr>
        <w:t>1.投标人应按本须知的相关要求准备投标文件。</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sz w:val="24"/>
        </w:rPr>
      </w:pPr>
      <w:r>
        <w:rPr>
          <w:rFonts w:hint="eastAsia" w:ascii="宋体" w:hAnsi="宋体"/>
          <w:color w:val="000000"/>
          <w:sz w:val="24"/>
        </w:rPr>
        <w:t>▲</w:t>
      </w:r>
      <w:r>
        <w:rPr>
          <w:rFonts w:hint="eastAsia" w:ascii="宋体" w:hAnsi="宋体"/>
          <w:sz w:val="24"/>
        </w:rPr>
        <w:t>3.法定代表人授权委托书、报价文件必须按照格式规定加盖CA章。</w:t>
      </w:r>
    </w:p>
    <w:p>
      <w:pPr>
        <w:spacing w:line="360" w:lineRule="auto"/>
        <w:ind w:left="472"/>
        <w:rPr>
          <w:rFonts w:ascii="宋体" w:hAnsi="宋体"/>
          <w:b/>
          <w:color w:val="000000"/>
          <w:sz w:val="24"/>
        </w:rPr>
      </w:pPr>
      <w:r>
        <w:rPr>
          <w:rFonts w:hint="eastAsia" w:ascii="宋体" w:hAnsi="宋体"/>
          <w:b/>
          <w:color w:val="000000"/>
          <w:sz w:val="24"/>
        </w:rPr>
        <w:t>四、投标文件的递交</w:t>
      </w:r>
    </w:p>
    <w:p>
      <w:pPr>
        <w:snapToGrid w:val="0"/>
        <w:spacing w:line="360" w:lineRule="auto"/>
        <w:ind w:firstLine="480" w:firstLineChars="200"/>
        <w:rPr>
          <w:rFonts w:ascii="宋体" w:hAnsi="宋体"/>
          <w:sz w:val="28"/>
          <w:szCs w:val="28"/>
        </w:rPr>
      </w:pPr>
      <w:r>
        <w:rPr>
          <w:rFonts w:hint="eastAsia" w:ascii="宋体" w:hAnsi="宋体"/>
          <w:sz w:val="24"/>
        </w:rPr>
        <w:t>(一)递交投标文件截止期</w:t>
      </w:r>
    </w:p>
    <w:p>
      <w:pPr>
        <w:autoSpaceDE w:val="0"/>
        <w:autoSpaceDN w:val="0"/>
        <w:adjustRightInd w:val="0"/>
        <w:snapToGrid w:val="0"/>
        <w:spacing w:line="360" w:lineRule="auto"/>
        <w:ind w:firstLine="480" w:firstLineChars="200"/>
        <w:rPr>
          <w:rFonts w:ascii="宋体" w:hAnsi="宋体"/>
          <w:bCs/>
          <w:color w:val="FF0000"/>
          <w:sz w:val="24"/>
        </w:rPr>
      </w:pPr>
      <w:r>
        <w:rPr>
          <w:rFonts w:hint="eastAsia" w:ascii="宋体" w:hAnsi="宋体"/>
          <w:bCs/>
          <w:color w:val="FF0000"/>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bCs/>
          <w:color w:val="FF0000"/>
          <w:sz w:val="24"/>
        </w:rPr>
      </w:pPr>
      <w:r>
        <w:rPr>
          <w:rFonts w:hint="eastAsia" w:ascii="宋体" w:hAnsi="宋体"/>
          <w:bCs/>
          <w:color w:val="FF0000"/>
          <w:sz w:val="24"/>
        </w:rPr>
        <w:t>2.本项目原则上采用远程异地开评标，投标人无需到开标现场，但须准时在线参加，直至评审结束。</w:t>
      </w:r>
    </w:p>
    <w:p>
      <w:pPr>
        <w:numPr>
          <w:ilvl w:val="0"/>
          <w:numId w:val="1"/>
        </w:numPr>
        <w:spacing w:line="360" w:lineRule="auto"/>
        <w:rPr>
          <w:rFonts w:ascii="宋体" w:hAnsi="宋体"/>
          <w:b/>
          <w:color w:val="000000"/>
          <w:sz w:val="24"/>
        </w:rPr>
      </w:pPr>
      <w:r>
        <w:rPr>
          <w:rFonts w:hint="eastAsia" w:ascii="宋体" w:hAnsi="宋体"/>
          <w:b/>
          <w:color w:val="000000"/>
          <w:sz w:val="24"/>
        </w:rPr>
        <w:t>投标文件的修改和撤销</w:t>
      </w:r>
    </w:p>
    <w:p>
      <w:pPr>
        <w:snapToGrid w:val="0"/>
        <w:spacing w:line="360" w:lineRule="auto"/>
        <w:ind w:firstLine="480" w:firstLineChars="200"/>
        <w:rPr>
          <w:rFonts w:ascii="宋体" w:hAnsi="宋体"/>
          <w:sz w:val="24"/>
        </w:rPr>
      </w:pPr>
      <w:r>
        <w:rPr>
          <w:rFonts w:hint="eastAsia" w:ascii="宋体" w:hAnsi="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sz w:val="24"/>
        </w:rPr>
      </w:pPr>
      <w:r>
        <w:rPr>
          <w:rFonts w:hint="eastAsia" w:ascii="宋体" w:hAnsi="宋体"/>
          <w:sz w:val="24"/>
        </w:rPr>
        <w:t>2.投标人修改后的投标文件应按原来的规定编制、标记和递交。</w:t>
      </w:r>
    </w:p>
    <w:p>
      <w:pPr>
        <w:snapToGrid w:val="0"/>
        <w:spacing w:line="360" w:lineRule="auto"/>
        <w:ind w:firstLine="480" w:firstLineChars="200"/>
        <w:rPr>
          <w:rFonts w:ascii="宋体" w:hAnsi="宋体"/>
          <w:sz w:val="24"/>
        </w:rPr>
      </w:pPr>
      <w:r>
        <w:rPr>
          <w:rFonts w:hint="eastAsia" w:ascii="宋体" w:hAnsi="宋体"/>
          <w:sz w:val="24"/>
        </w:rPr>
        <w:t>3.在递交投标文件截止期之后，投标人不得对其投标文件做任何修改。</w:t>
      </w:r>
    </w:p>
    <w:p>
      <w:pPr>
        <w:snapToGrid w:val="0"/>
        <w:spacing w:line="360" w:lineRule="auto"/>
        <w:ind w:firstLine="480" w:firstLineChars="200"/>
        <w:rPr>
          <w:rFonts w:ascii="宋体" w:hAnsi="宋体"/>
          <w:sz w:val="24"/>
        </w:rPr>
      </w:pPr>
      <w:r>
        <w:rPr>
          <w:rFonts w:hint="eastAsia" w:ascii="宋体" w:hAnsi="宋体"/>
          <w:sz w:val="24"/>
        </w:rPr>
        <w:t>4.递交投标文件截止期后，投标人不得撤回其投标文件。</w:t>
      </w:r>
    </w:p>
    <w:p>
      <w:pPr>
        <w:snapToGrid w:val="0"/>
        <w:spacing w:line="360" w:lineRule="auto"/>
        <w:ind w:firstLine="480" w:firstLineChars="200"/>
        <w:rPr>
          <w:rFonts w:ascii="宋体" w:hAnsi="宋体"/>
          <w:sz w:val="24"/>
        </w:rPr>
      </w:pPr>
      <w:r>
        <w:rPr>
          <w:rFonts w:hint="eastAsia" w:ascii="宋体" w:hAnsi="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b/>
          <w:color w:val="000000"/>
          <w:sz w:val="24"/>
        </w:rPr>
      </w:pPr>
      <w:r>
        <w:rPr>
          <w:rFonts w:hint="eastAsia" w:ascii="宋体" w:hAnsi="宋体"/>
          <w:b/>
          <w:color w:val="000000"/>
          <w:sz w:val="24"/>
        </w:rPr>
        <w:t>（三）无效的投标文件</w:t>
      </w:r>
    </w:p>
    <w:p>
      <w:pPr>
        <w:spacing w:line="360" w:lineRule="auto"/>
        <w:ind w:firstLine="480" w:firstLineChars="200"/>
        <w:rPr>
          <w:rFonts w:ascii="宋体" w:hAnsi="宋体"/>
          <w:color w:val="000000"/>
          <w:sz w:val="24"/>
        </w:rPr>
      </w:pPr>
      <w:r>
        <w:rPr>
          <w:rFonts w:hint="eastAsia" w:ascii="宋体" w:hAnsi="宋体"/>
          <w:color w:val="000000"/>
          <w:sz w:val="24"/>
        </w:rPr>
        <w:t>发生下列情况之一的投标文件将被视为无效：</w:t>
      </w:r>
    </w:p>
    <w:p>
      <w:pPr>
        <w:snapToGrid w:val="0"/>
        <w:spacing w:line="360" w:lineRule="auto"/>
        <w:ind w:firstLine="480" w:firstLineChars="200"/>
        <w:rPr>
          <w:rFonts w:ascii="宋体" w:hAnsi="宋体"/>
          <w:color w:val="000000"/>
          <w:sz w:val="24"/>
        </w:rPr>
      </w:pPr>
      <w:bookmarkStart w:id="0" w:name="串通投标的情形"/>
      <w:bookmarkStart w:id="1" w:name="_Toc359856805"/>
      <w:bookmarkStart w:id="2" w:name="_Toc359592368"/>
      <w:r>
        <w:rPr>
          <w:rFonts w:hint="eastAsia" w:ascii="宋体" w:hAnsi="宋体"/>
          <w:color w:val="000000"/>
          <w:sz w:val="24"/>
        </w:rPr>
        <w:t>1.不具备招标文件规定资格要求；</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2.投标文件未有效授权的；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3.招标文件中有▲处条款投标人未作实质性响应的；</w:t>
      </w:r>
    </w:p>
    <w:p>
      <w:pPr>
        <w:snapToGrid w:val="0"/>
        <w:spacing w:line="360" w:lineRule="auto"/>
        <w:ind w:firstLine="480" w:firstLineChars="200"/>
        <w:rPr>
          <w:rFonts w:ascii="宋体" w:hAnsi="宋体"/>
          <w:color w:val="000000"/>
          <w:sz w:val="24"/>
        </w:rPr>
      </w:pPr>
      <w:r>
        <w:rPr>
          <w:rFonts w:hint="eastAsia" w:ascii="宋体" w:hAnsi="宋体"/>
          <w:color w:val="000000"/>
          <w:sz w:val="24"/>
        </w:rPr>
        <w:t>4.资格审查或商务技术文件中包含投标报价的；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5.投标文件关键内容字迹模糊、无法辨认的；</w:t>
      </w:r>
    </w:p>
    <w:p>
      <w:pPr>
        <w:snapToGrid w:val="0"/>
        <w:spacing w:line="360" w:lineRule="auto"/>
        <w:ind w:firstLine="480" w:firstLineChars="200"/>
        <w:rPr>
          <w:rFonts w:ascii="宋体" w:hAnsi="宋体"/>
          <w:color w:val="000000"/>
          <w:sz w:val="24"/>
        </w:rPr>
      </w:pPr>
      <w:r>
        <w:rPr>
          <w:rFonts w:hint="eastAsia" w:ascii="宋体" w:hAnsi="宋体"/>
          <w:color w:val="000000"/>
          <w:sz w:val="24"/>
        </w:rPr>
        <w:t>6.投标文件含有采购人不能接受的附加条件的；</w:t>
      </w:r>
    </w:p>
    <w:p>
      <w:pPr>
        <w:snapToGrid w:val="0"/>
        <w:spacing w:line="360" w:lineRule="auto"/>
        <w:ind w:firstLine="480" w:firstLineChars="200"/>
        <w:rPr>
          <w:rFonts w:ascii="宋体" w:hAnsi="宋体"/>
          <w:color w:val="000000"/>
          <w:sz w:val="24"/>
        </w:rPr>
      </w:pPr>
      <w:r>
        <w:rPr>
          <w:rFonts w:hint="eastAsia" w:ascii="宋体" w:hAnsi="宋体"/>
          <w:color w:val="000000"/>
          <w:sz w:val="24"/>
        </w:rPr>
        <w:t>7.报价超出招标文件中规定的预算金额或者最高限价的；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8.提供虚假材料谋取中标的；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9.投标人串通投标的；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10.不符合法律、法规和招标文件规定的其他实质性要求的。</w:t>
      </w:r>
    </w:p>
    <w:p>
      <w:pPr>
        <w:widowControl/>
        <w:snapToGrid w:val="0"/>
        <w:spacing w:line="360" w:lineRule="auto"/>
        <w:ind w:firstLine="480" w:firstLineChars="200"/>
        <w:jc w:val="left"/>
        <w:rPr>
          <w:rFonts w:ascii="宋体" w:hAnsi="宋体"/>
          <w:color w:val="FF0000"/>
          <w:sz w:val="24"/>
        </w:rPr>
      </w:pPr>
      <w:r>
        <w:rPr>
          <w:rFonts w:hint="eastAsia" w:ascii="宋体" w:hAnsi="宋体"/>
          <w:color w:val="FF0000"/>
          <w:sz w:val="24"/>
        </w:rPr>
        <w:t>11.电子投标文件解密失败的；</w:t>
      </w:r>
    </w:p>
    <w:p>
      <w:pPr>
        <w:tabs>
          <w:tab w:val="left" w:pos="1325"/>
        </w:tabs>
        <w:spacing w:line="360" w:lineRule="auto"/>
        <w:ind w:firstLine="480" w:firstLineChars="200"/>
        <w:rPr>
          <w:rFonts w:ascii="宋体" w:hAnsi="宋体"/>
          <w:color w:val="FF0000"/>
          <w:sz w:val="24"/>
        </w:rPr>
      </w:pPr>
      <w:r>
        <w:rPr>
          <w:rFonts w:hint="eastAsia" w:ascii="宋体" w:hAnsi="宋体"/>
          <w:color w:val="FF0000"/>
          <w:sz w:val="24"/>
        </w:rPr>
        <w:t>12.电子投标文件超过规定时间（开标后30分钟内）未解密的；</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（四）串通投标的情形</w:t>
      </w:r>
      <w:bookmarkEnd w:id="0"/>
    </w:p>
    <w:p>
      <w:pPr>
        <w:snapToGrid w:val="0"/>
        <w:spacing w:line="360" w:lineRule="auto"/>
        <w:ind w:left="284" w:firstLine="120" w:firstLineChars="50"/>
        <w:rPr>
          <w:rFonts w:ascii="宋体" w:hAnsi="宋体"/>
          <w:color w:val="000000"/>
          <w:sz w:val="24"/>
        </w:rPr>
      </w:pPr>
      <w:r>
        <w:rPr>
          <w:rFonts w:hint="eastAsia" w:ascii="宋体" w:hAnsi="宋体"/>
          <w:color w:val="000000"/>
          <w:sz w:val="24"/>
        </w:rPr>
        <w:t>1.不同投标人的投标文件由同一单位或者个人编制；</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2.不同投标人委托同一单位或者个人办理投标事宜；</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4.不同投标人的投标文件异常一致或者投标报价呈规律性差异；</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5.不同投标人的投标文件相互混装。</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（五）</w:t>
      </w:r>
      <w:bookmarkStart w:id="3" w:name="废标的情形"/>
      <w:r>
        <w:rPr>
          <w:rFonts w:hint="eastAsia" w:ascii="宋体" w:hAnsi="宋体"/>
          <w:b/>
          <w:color w:val="000000"/>
          <w:sz w:val="24"/>
        </w:rPr>
        <w:t>废标的情形</w:t>
      </w:r>
      <w:bookmarkEnd w:id="1"/>
      <w:bookmarkEnd w:id="2"/>
      <w:bookmarkEnd w:id="3"/>
    </w:p>
    <w:p>
      <w:pPr>
        <w:snapToGrid w:val="0"/>
        <w:spacing w:line="360" w:lineRule="auto"/>
        <w:ind w:firstLine="480" w:firstLineChars="200"/>
        <w:rPr>
          <w:rFonts w:ascii="宋体" w:hAnsi="宋体"/>
          <w:color w:val="000000"/>
          <w:sz w:val="24"/>
        </w:rPr>
      </w:pPr>
      <w:r>
        <w:rPr>
          <w:rFonts w:hint="eastAsia" w:ascii="宋体" w:hAnsi="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olor w:val="000000"/>
          <w:sz w:val="24"/>
        </w:rPr>
      </w:pPr>
      <w:r>
        <w:rPr>
          <w:rFonts w:hint="eastAsia" w:ascii="宋体" w:hAnsi="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olor w:val="000000"/>
          <w:sz w:val="24"/>
        </w:rPr>
      </w:pPr>
      <w:r>
        <w:rPr>
          <w:rFonts w:hint="eastAsia" w:ascii="宋体" w:hAnsi="宋体"/>
          <w:color w:val="000000"/>
          <w:sz w:val="24"/>
        </w:rPr>
        <w:t>2.出现影响采购公正的违法、违规行为的；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3.投标人的报价均超过了采购预算（最高限价），采购人不能支付的；</w:t>
      </w:r>
    </w:p>
    <w:p>
      <w:pPr>
        <w:snapToGrid w:val="0"/>
        <w:spacing w:line="360" w:lineRule="auto"/>
        <w:ind w:firstLine="480" w:firstLineChars="200"/>
        <w:rPr>
          <w:rFonts w:ascii="宋体" w:hAnsi="宋体"/>
          <w:color w:val="000000"/>
          <w:sz w:val="24"/>
        </w:rPr>
      </w:pPr>
      <w:r>
        <w:rPr>
          <w:rFonts w:hint="eastAsia" w:ascii="宋体" w:hAnsi="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五、开标</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（一）开标</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招标人在规定的日期、时间和地点组织招标会。</w:t>
      </w:r>
    </w:p>
    <w:p>
      <w:pPr>
        <w:snapToGrid w:val="0"/>
        <w:spacing w:line="360" w:lineRule="auto"/>
        <w:ind w:firstLine="480" w:firstLineChars="200"/>
        <w:rPr>
          <w:rFonts w:ascii="宋体" w:hAnsi="宋体"/>
          <w:color w:val="FF0000"/>
          <w:sz w:val="24"/>
        </w:rPr>
      </w:pPr>
      <w:r>
        <w:rPr>
          <w:rFonts w:hint="eastAsia" w:ascii="宋体" w:hAnsi="宋体"/>
          <w:color w:val="FF0000"/>
          <w:sz w:val="24"/>
        </w:rPr>
        <w:t>2.电子投标文件开标</w:t>
      </w:r>
    </w:p>
    <w:p>
      <w:pPr>
        <w:snapToGrid w:val="0"/>
        <w:spacing w:line="360" w:lineRule="auto"/>
        <w:ind w:firstLine="480" w:firstLineChars="200"/>
        <w:rPr>
          <w:rFonts w:ascii="宋体" w:hAnsi="宋体"/>
          <w:color w:val="FF0000"/>
          <w:sz w:val="24"/>
        </w:rPr>
      </w:pPr>
      <w:r>
        <w:rPr>
          <w:rFonts w:hint="eastAsia" w:ascii="宋体" w:hAnsi="宋体"/>
          <w:color w:val="FF0000"/>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olor w:val="FF0000"/>
          <w:sz w:val="24"/>
        </w:rPr>
      </w:pPr>
      <w:r>
        <w:rPr>
          <w:rFonts w:hint="eastAsia" w:ascii="宋体" w:hAnsi="宋体"/>
          <w:color w:val="FF0000"/>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b/>
          <w:bCs/>
          <w:color w:val="000000"/>
          <w:sz w:val="24"/>
        </w:rPr>
      </w:pPr>
      <w:r>
        <w:rPr>
          <w:rFonts w:hint="eastAsia" w:ascii="宋体" w:hAnsi="宋体"/>
          <w:b/>
          <w:bCs/>
          <w:color w:val="000000"/>
          <w:sz w:val="24"/>
        </w:rPr>
        <w:t>（二）评标委员会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olor w:val="000000"/>
          <w:sz w:val="24"/>
        </w:rPr>
      </w:pPr>
      <w:r>
        <w:rPr>
          <w:rFonts w:hint="eastAsia" w:ascii="宋体" w:hAnsi="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b/>
          <w:bCs/>
          <w:color w:val="000000"/>
          <w:sz w:val="24"/>
        </w:rPr>
      </w:pPr>
      <w:r>
        <w:rPr>
          <w:rFonts w:hint="eastAsia" w:ascii="宋体" w:hAnsi="宋体"/>
          <w:b/>
          <w:bCs/>
          <w:color w:val="000000"/>
          <w:sz w:val="24"/>
        </w:rPr>
        <w:t>（三）评标</w:t>
      </w:r>
    </w:p>
    <w:p>
      <w:pPr>
        <w:snapToGrid w:val="0"/>
        <w:spacing w:line="360" w:lineRule="auto"/>
        <w:ind w:firstLine="480" w:firstLineChars="200"/>
        <w:rPr>
          <w:rFonts w:ascii="宋体" w:hAnsi="宋体"/>
          <w:b/>
          <w:bCs/>
          <w:color w:val="000000"/>
          <w:sz w:val="24"/>
        </w:rPr>
      </w:pPr>
      <w:r>
        <w:rPr>
          <w:rFonts w:hint="eastAsia" w:ascii="宋体" w:hAnsi="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olor w:val="000000"/>
          <w:sz w:val="24"/>
        </w:rPr>
      </w:pPr>
      <w:r>
        <w:rPr>
          <w:rFonts w:hint="eastAsia" w:ascii="宋体" w:hAnsi="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(四) 算术错误将按以下方法更正</w:t>
      </w:r>
    </w:p>
    <w:p>
      <w:pPr>
        <w:snapToGrid w:val="0"/>
        <w:spacing w:line="360" w:lineRule="auto"/>
        <w:ind w:firstLine="480" w:firstLineChars="200"/>
        <w:rPr>
          <w:rFonts w:ascii="宋体" w:hAnsi="宋体"/>
          <w:color w:val="000000"/>
          <w:sz w:val="24"/>
        </w:rPr>
      </w:pPr>
      <w:r>
        <w:rPr>
          <w:rFonts w:hint="eastAsia" w:ascii="宋体" w:hAnsi="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（2）投标文件的大写金额和小写金额不一致的，以大写金额为准；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olor w:val="000000"/>
          <w:sz w:val="24"/>
        </w:rPr>
      </w:pPr>
      <w:r>
        <w:rPr>
          <w:rFonts w:hint="eastAsia" w:ascii="宋体" w:hAnsi="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olor w:val="000000"/>
          <w:sz w:val="24"/>
        </w:rPr>
      </w:pPr>
      <w:r>
        <w:rPr>
          <w:rFonts w:hint="eastAsia" w:ascii="宋体" w:hAnsi="宋体"/>
          <w:b/>
          <w:color w:val="000000"/>
          <w:sz w:val="24"/>
        </w:rPr>
        <w:t>（五）开标结果</w:t>
      </w:r>
      <w:r>
        <w:rPr>
          <w:rFonts w:hint="eastAsia" w:ascii="宋体" w:hAnsi="宋体"/>
          <w:color w:val="000000"/>
          <w:sz w:val="24"/>
        </w:rPr>
        <w:t>：评标委员会按招标文件规定的评定办法评定中标候选人。</w:t>
      </w:r>
    </w:p>
    <w:p>
      <w:pPr>
        <w:spacing w:line="360" w:lineRule="auto"/>
        <w:ind w:firstLine="482" w:firstLineChars="200"/>
        <w:rPr>
          <w:rFonts w:ascii="宋体" w:hAnsi="宋体"/>
          <w:color w:val="000000"/>
          <w:sz w:val="24"/>
        </w:rPr>
      </w:pPr>
      <w:r>
        <w:rPr>
          <w:rFonts w:hint="eastAsia" w:ascii="宋体" w:hAnsi="宋体"/>
          <w:b/>
          <w:color w:val="000000"/>
          <w:sz w:val="24"/>
        </w:rPr>
        <w:t>（六）中标通知书</w:t>
      </w:r>
      <w:r>
        <w:rPr>
          <w:rFonts w:hint="eastAsia" w:ascii="宋体" w:hAnsi="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b/>
          <w:color w:val="000000"/>
          <w:sz w:val="24"/>
        </w:rPr>
      </w:pPr>
      <w:r>
        <w:rPr>
          <w:rFonts w:hint="eastAsia" w:ascii="宋体" w:hAnsi="宋体"/>
          <w:b/>
          <w:color w:val="000000"/>
          <w:sz w:val="24"/>
        </w:rPr>
        <w:t>六、履约保证金</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bCs/>
          <w:color w:val="000000"/>
          <w:sz w:val="24"/>
        </w:rPr>
        <w:t>1．中标供应商于中标结果（成交）公告结束后5个工作日内</w:t>
      </w:r>
      <w:r>
        <w:rPr>
          <w:rFonts w:hint="eastAsia" w:ascii="宋体" w:hAnsi="宋体"/>
          <w:b/>
          <w:color w:val="000000"/>
          <w:sz w:val="24"/>
        </w:rPr>
        <w:t>向采购人缴纳履约保证金，履约保证金为中标金额的5%。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2．缴纳形式：</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bCs/>
          <w:color w:val="FF0000"/>
          <w:sz w:val="24"/>
        </w:rPr>
      </w:pPr>
      <w:r>
        <w:rPr>
          <w:rFonts w:hint="eastAsia" w:ascii="宋体" w:hAnsi="宋体"/>
          <w:bCs/>
          <w:color w:val="FF0000"/>
          <w:sz w:val="24"/>
        </w:rPr>
        <w:t>账号：799901012105965。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(2)或符合政策规定的其它形式</w:t>
      </w:r>
      <w:r>
        <w:rPr>
          <w:rFonts w:ascii="宋体" w:hAnsi="宋体"/>
          <w:bCs/>
          <w:color w:val="FF0000"/>
          <w:sz w:val="24"/>
        </w:rPr>
        <w:t>。</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七、合同授予</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2．中标人拖延、拒签合同的，将被扣罚履约保证金并取消中标资格。</w:t>
      </w:r>
    </w:p>
    <w:p>
      <w:pPr>
        <w:spacing w:line="360" w:lineRule="auto"/>
        <w:ind w:firstLine="480" w:firstLineChars="200"/>
        <w:rPr>
          <w:rFonts w:ascii="宋体" w:hAnsi="宋体"/>
          <w:bCs/>
          <w:color w:val="000000"/>
          <w:sz w:val="24"/>
        </w:rPr>
      </w:pPr>
      <w:r>
        <w:rPr>
          <w:rFonts w:hint="eastAsia" w:ascii="宋体" w:hAnsi="宋体"/>
          <w:bCs/>
          <w:color w:val="000000"/>
          <w:sz w:val="24"/>
        </w:rPr>
        <w:t>3．招标文件、澄清文件、投标文件等，均为签订合同的依据。</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八、项目要求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九、质量保证要求</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（一） 本次招标的商品必须是</w:t>
      </w:r>
      <w:r>
        <w:rPr>
          <w:rFonts w:ascii="宋体" w:hAnsi="宋体"/>
          <w:b/>
          <w:bCs/>
          <w:color w:val="FF0000"/>
          <w:kern w:val="0"/>
          <w:sz w:val="24"/>
        </w:rPr>
        <w:t>2020</w:t>
      </w:r>
      <w:r>
        <w:rPr>
          <w:rFonts w:hint="eastAsia" w:ascii="宋体" w:hAnsi="宋体"/>
          <w:b/>
          <w:bCs/>
          <w:color w:val="FF0000"/>
          <w:kern w:val="0"/>
          <w:sz w:val="24"/>
        </w:rPr>
        <w:t>年</w:t>
      </w:r>
      <w:r>
        <w:rPr>
          <w:rFonts w:ascii="宋体" w:hAnsi="宋体"/>
          <w:b/>
          <w:bCs/>
          <w:color w:val="FF0000"/>
          <w:kern w:val="0"/>
          <w:sz w:val="24"/>
        </w:rPr>
        <w:t>01</w:t>
      </w:r>
      <w:r>
        <w:rPr>
          <w:rFonts w:hint="eastAsia" w:ascii="宋体" w:hAnsi="宋体"/>
          <w:b/>
          <w:bCs/>
          <w:color w:val="FF0000"/>
          <w:kern w:val="0"/>
          <w:sz w:val="24"/>
        </w:rPr>
        <w:t>月</w:t>
      </w:r>
      <w:r>
        <w:rPr>
          <w:rFonts w:hint="eastAsia" w:ascii="宋体" w:hAnsi="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十、其他要求</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（一）交货时间</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合同签订后</w:t>
      </w:r>
      <w:r>
        <w:rPr>
          <w:rFonts w:ascii="宋体" w:hAnsi="宋体"/>
          <w:b/>
          <w:bCs/>
          <w:color w:val="FF0000"/>
          <w:kern w:val="0"/>
          <w:sz w:val="24"/>
        </w:rPr>
        <w:t>60</w:t>
      </w:r>
      <w:r>
        <w:rPr>
          <w:rFonts w:hint="eastAsia" w:ascii="宋体" w:hAnsi="宋体"/>
          <w:b/>
          <w:bCs/>
          <w:color w:val="FF0000"/>
          <w:kern w:val="0"/>
          <w:sz w:val="24"/>
        </w:rPr>
        <w:t>天</w:t>
      </w:r>
      <w:r>
        <w:rPr>
          <w:rFonts w:hint="eastAsia" w:ascii="宋体" w:hAnsi="宋体"/>
          <w:color w:val="000000"/>
          <w:kern w:val="0"/>
          <w:sz w:val="24"/>
        </w:rPr>
        <w:t>内完成供货</w:t>
      </w:r>
      <w:r>
        <w:rPr>
          <w:color w:val="000000"/>
          <w:sz w:val="24"/>
        </w:rPr>
        <w:t>（定制实验单元模块在3个月内完成供货）</w:t>
      </w:r>
      <w:r>
        <w:rPr>
          <w:rFonts w:hint="eastAsia" w:ascii="宋体" w:hAnsi="宋体"/>
          <w:color w:val="000000"/>
          <w:kern w:val="0"/>
          <w:sz w:val="24"/>
        </w:rPr>
        <w:t>及线路、设备安施和调试，交付采购方使用。</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（二）售后服务要求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1.从验收合格之日起，质保期</w:t>
      </w:r>
      <w:r>
        <w:rPr>
          <w:rFonts w:ascii="宋体" w:hAnsi="宋体"/>
          <w:b/>
          <w:bCs/>
          <w:color w:val="FF0000"/>
          <w:kern w:val="0"/>
          <w:sz w:val="24"/>
        </w:rPr>
        <w:t>3</w:t>
      </w:r>
      <w:r>
        <w:rPr>
          <w:rFonts w:hint="eastAsia" w:ascii="宋体" w:hAnsi="宋体"/>
          <w:b/>
          <w:bCs/>
          <w:color w:val="FF0000"/>
          <w:kern w:val="0"/>
          <w:sz w:val="24"/>
        </w:rPr>
        <w:t>年</w:t>
      </w:r>
      <w:r>
        <w:rPr>
          <w:rFonts w:hint="eastAsia" w:ascii="宋体" w:hAnsi="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3.维护保养要求：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要求维护维修设立专职维护、维修人员或机构。专门配备维修器材。项目维护保养为整体系统工程安装、调试完毕经招标方组织验收合格并正常运行三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（三）培训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（四）验收</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1.验收分</w:t>
      </w:r>
      <w:r>
        <w:rPr>
          <w:rFonts w:hint="eastAsia" w:ascii="宋体" w:hAnsi="宋体"/>
          <w:color w:val="000000"/>
          <w:sz w:val="24"/>
        </w:rPr>
        <w:t>初验、</w:t>
      </w:r>
      <w:r>
        <w:rPr>
          <w:rFonts w:ascii="宋体" w:hAnsi="宋体"/>
          <w:color w:val="000000"/>
          <w:sz w:val="24"/>
        </w:rPr>
        <w:t>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3.系统终验在系统集成初验合格一个月内组织实施。</w:t>
      </w:r>
    </w:p>
    <w:p>
      <w:pPr>
        <w:spacing w:line="360" w:lineRule="auto"/>
        <w:ind w:firstLine="470" w:firstLineChars="195"/>
        <w:rPr>
          <w:rFonts w:ascii="宋体" w:hAnsi="宋体"/>
          <w:b/>
          <w:color w:val="000000"/>
          <w:sz w:val="24"/>
        </w:rPr>
      </w:pPr>
      <w:r>
        <w:rPr>
          <w:rFonts w:hint="eastAsia" w:ascii="宋体" w:hAnsi="宋体"/>
          <w:b/>
          <w:color w:val="000000"/>
          <w:sz w:val="24"/>
        </w:rPr>
        <w:t>十一、解释权：</w:t>
      </w:r>
      <w:r>
        <w:rPr>
          <w:rFonts w:hint="eastAsia" w:ascii="宋体" w:hAnsi="宋体"/>
          <w:color w:val="000000"/>
          <w:sz w:val="24"/>
        </w:rPr>
        <w:t>本招标文件依据《政府采购法》及有关规定编制，解释权属招标人。</w:t>
      </w:r>
    </w:p>
    <w:p>
      <w:pPr>
        <w:spacing w:line="360" w:lineRule="auto"/>
        <w:ind w:firstLine="472" w:firstLineChars="196"/>
        <w:rPr>
          <w:rFonts w:ascii="宋体" w:hAnsi="宋体"/>
          <w:color w:val="000000"/>
          <w:sz w:val="24"/>
        </w:rPr>
      </w:pPr>
      <w:r>
        <w:rPr>
          <w:rFonts w:hint="eastAsia" w:ascii="宋体" w:hAnsi="宋体"/>
          <w:b/>
          <w:color w:val="000000"/>
          <w:sz w:val="24"/>
        </w:rPr>
        <w:t>十二、通讯地址：</w:t>
      </w:r>
      <w:r>
        <w:rPr>
          <w:rFonts w:hint="eastAsia" w:ascii="宋体" w:hAnsi="宋体"/>
          <w:color w:val="000000"/>
          <w:sz w:val="24"/>
        </w:rPr>
        <w:t>所有与招标有关的函电请按下面联系。</w:t>
      </w:r>
    </w:p>
    <w:p>
      <w:pPr>
        <w:spacing w:line="360" w:lineRule="auto"/>
        <w:ind w:firstLine="480" w:firstLineChars="200"/>
        <w:jc w:val="left"/>
        <w:rPr>
          <w:rFonts w:ascii="宋体" w:hAnsi="宋体"/>
          <w:color w:val="000000"/>
          <w:sz w:val="24"/>
        </w:rPr>
      </w:pPr>
      <w:r>
        <w:rPr>
          <w:rFonts w:hint="eastAsia" w:ascii="宋体" w:hAnsi="宋体"/>
          <w:color w:val="000000"/>
          <w:sz w:val="24"/>
        </w:rPr>
        <w:t>通讯地址：浙江省衢州市九华北大道78号衢州学院，邮编：324000。</w:t>
      </w:r>
    </w:p>
    <w:p>
      <w:pPr>
        <w:shd w:val="clear" w:color="auto" w:fill="FFFFFF"/>
        <w:spacing w:line="360" w:lineRule="auto"/>
        <w:ind w:firstLine="495"/>
        <w:rPr>
          <w:rFonts w:ascii="宋体" w:hAnsi="宋体"/>
          <w:bCs/>
          <w:color w:val="000000"/>
          <w:sz w:val="24"/>
        </w:rPr>
      </w:pPr>
      <w:r>
        <w:rPr>
          <w:rFonts w:hint="eastAsia" w:ascii="宋体" w:hAnsi="宋体" w:cs="Arial"/>
          <w:color w:val="000000"/>
          <w:kern w:val="0"/>
          <w:sz w:val="24"/>
        </w:rPr>
        <w:t>采购中心联系人</w:t>
      </w:r>
      <w:r>
        <w:rPr>
          <w:rFonts w:hint="eastAsia" w:ascii="宋体" w:hAnsi="宋体"/>
          <w:bCs/>
          <w:color w:val="000000"/>
          <w:sz w:val="24"/>
        </w:rPr>
        <w:t>：周老师，电话（传真）：0570-8015042，18957039862。</w:t>
      </w:r>
    </w:p>
    <w:p>
      <w:pPr>
        <w:spacing w:line="360" w:lineRule="auto"/>
        <w:ind w:firstLine="480" w:firstLineChars="200"/>
        <w:rPr>
          <w:rFonts w:ascii="宋体" w:hAnsi="宋体"/>
          <w:kern w:val="0"/>
          <w:sz w:val="24"/>
        </w:rPr>
      </w:pPr>
      <w:r>
        <w:rPr>
          <w:rFonts w:hint="eastAsia" w:ascii="宋体" w:hAnsi="宋体"/>
          <w:kern w:val="0"/>
          <w:sz w:val="24"/>
        </w:rPr>
        <w:t>质疑答复联系人：郑老师；电话（传真）0570-8015028。</w:t>
      </w:r>
    </w:p>
    <w:p>
      <w:pPr>
        <w:spacing w:line="360" w:lineRule="auto"/>
        <w:ind w:firstLine="480" w:firstLineChars="200"/>
        <w:rPr>
          <w:rFonts w:ascii="宋体" w:hAnsi="宋体" w:cs="Arial"/>
          <w:color w:val="000000"/>
          <w:kern w:val="0"/>
          <w:sz w:val="24"/>
        </w:rPr>
      </w:pPr>
      <w:r>
        <w:rPr>
          <w:rFonts w:hint="eastAsia" w:ascii="宋体" w:hAnsi="宋体" w:cs="Arial"/>
          <w:color w:val="000000"/>
          <w:kern w:val="0"/>
          <w:sz w:val="24"/>
        </w:rPr>
        <w:t>项目技术答疑联系人：张老师，电话：</w:t>
      </w:r>
      <w:r>
        <w:rPr>
          <w:rFonts w:ascii="宋体" w:hAnsi="宋体" w:cs="Arial"/>
          <w:color w:val="000000"/>
          <w:kern w:val="0"/>
          <w:sz w:val="24"/>
        </w:rPr>
        <w:t>13819004659</w:t>
      </w:r>
      <w:r>
        <w:rPr>
          <w:rFonts w:hint="eastAsia" w:ascii="宋体" w:hAnsi="宋体"/>
          <w:bCs/>
          <w:color w:val="000000"/>
          <w:sz w:val="24"/>
        </w:rPr>
        <w:t>。</w:t>
      </w:r>
    </w:p>
    <w:p>
      <w:pPr>
        <w:spacing w:line="360" w:lineRule="auto"/>
        <w:ind w:firstLine="480" w:firstLineChars="200"/>
        <w:rPr>
          <w:rFonts w:ascii="宋体" w:hAnsi="宋体" w:cs="Arial"/>
          <w:color w:val="000000"/>
          <w:kern w:val="0"/>
          <w:sz w:val="24"/>
        </w:rPr>
      </w:pPr>
      <w:r>
        <w:rPr>
          <w:rFonts w:hint="eastAsia" w:ascii="宋体" w:hAnsi="宋体" w:cs="Arial"/>
          <w:color w:val="000000"/>
          <w:kern w:val="0"/>
          <w:sz w:val="24"/>
        </w:rPr>
        <w:t xml:space="preserve">                   </w:t>
      </w:r>
    </w:p>
    <w:p>
      <w:pPr>
        <w:spacing w:line="360" w:lineRule="auto"/>
        <w:ind w:firstLine="480" w:firstLineChars="200"/>
        <w:rPr>
          <w:rFonts w:ascii="宋体" w:hAnsi="宋体" w:cs="Arial"/>
          <w:color w:val="000000"/>
          <w:kern w:val="0"/>
          <w:sz w:val="24"/>
        </w:rPr>
      </w:pPr>
    </w:p>
    <w:p>
      <w:pPr>
        <w:spacing w:line="360" w:lineRule="auto"/>
        <w:ind w:firstLine="643" w:firstLineChars="200"/>
        <w:rPr>
          <w:rFonts w:ascii="宋体" w:hAnsi="宋体"/>
          <w:b/>
          <w:bCs/>
          <w:color w:val="000000"/>
          <w:sz w:val="32"/>
        </w:rPr>
      </w:pPr>
      <w:bookmarkStart w:id="4" w:name="_Toc201078659"/>
    </w:p>
    <w:p>
      <w:pPr>
        <w:spacing w:line="360" w:lineRule="auto"/>
        <w:jc w:val="center"/>
        <w:rPr>
          <w:rFonts w:ascii="宋体" w:hAnsi="宋体"/>
          <w:b/>
          <w:bCs/>
          <w:color w:val="000000"/>
          <w:sz w:val="24"/>
        </w:rPr>
      </w:pPr>
      <w:r>
        <w:rPr>
          <w:rFonts w:ascii="宋体" w:hAnsi="宋体"/>
          <w:b/>
          <w:color w:val="000000"/>
          <w:sz w:val="32"/>
          <w:szCs w:val="32"/>
        </w:rPr>
        <w:t>第三章 采购内容及要求</w:t>
      </w:r>
      <w:bookmarkEnd w:id="4"/>
    </w:p>
    <w:p>
      <w:pPr>
        <w:spacing w:line="400" w:lineRule="exact"/>
        <w:rPr>
          <w:rFonts w:ascii="宋体" w:hAnsi="宋体"/>
          <w:b/>
          <w:color w:val="000000"/>
          <w:sz w:val="24"/>
        </w:rPr>
      </w:pPr>
      <w:r>
        <w:rPr>
          <w:rFonts w:hint="eastAsia" w:ascii="宋体" w:hAnsi="宋体"/>
          <w:b/>
          <w:color w:val="000000"/>
          <w:sz w:val="24"/>
        </w:rPr>
        <w:t xml:space="preserve">    标注“▲”号的为不可负偏离条款，对这些条款的任何负偏离为无效投标</w:t>
      </w:r>
      <w:r>
        <w:rPr>
          <w:rFonts w:hint="eastAsia" w:ascii="宋体" w:hAnsi="宋体"/>
          <w:bCs/>
          <w:color w:val="000000"/>
          <w:sz w:val="24"/>
        </w:rPr>
        <w:t>。</w:t>
      </w:r>
    </w:p>
    <w:p>
      <w:pPr>
        <w:spacing w:line="380" w:lineRule="exact"/>
        <w:outlineLvl w:val="1"/>
        <w:rPr>
          <w:b/>
          <w:color w:val="000000"/>
          <w:sz w:val="24"/>
        </w:rPr>
      </w:pPr>
    </w:p>
    <w:p>
      <w:pPr>
        <w:spacing w:line="380" w:lineRule="exact"/>
        <w:ind w:firstLine="482" w:firstLineChars="200"/>
        <w:outlineLvl w:val="1"/>
        <w:rPr>
          <w:b/>
          <w:color w:val="000000"/>
          <w:sz w:val="24"/>
        </w:rPr>
      </w:pPr>
      <w:r>
        <w:rPr>
          <w:b/>
          <w:color w:val="000000"/>
          <w:sz w:val="24"/>
        </w:rPr>
        <w:t>一、采购内容</w:t>
      </w:r>
    </w:p>
    <w:tbl>
      <w:tblPr>
        <w:tblStyle w:val="16"/>
        <w:tblW w:w="47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3"/>
        <w:gridCol w:w="4472"/>
        <w:gridCol w:w="1262"/>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9" w:type="pct"/>
            <w:vAlign w:val="center"/>
          </w:tcPr>
          <w:p>
            <w:pPr>
              <w:spacing w:line="380" w:lineRule="exact"/>
              <w:jc w:val="center"/>
              <w:rPr>
                <w:bCs/>
                <w:color w:val="000000"/>
                <w:kern w:val="0"/>
                <w:sz w:val="24"/>
              </w:rPr>
            </w:pPr>
            <w:r>
              <w:rPr>
                <w:bCs/>
                <w:color w:val="000000"/>
                <w:kern w:val="0"/>
                <w:sz w:val="24"/>
              </w:rPr>
              <w:t>序号</w:t>
            </w:r>
          </w:p>
        </w:tc>
        <w:tc>
          <w:tcPr>
            <w:tcW w:w="2760" w:type="pct"/>
            <w:vAlign w:val="center"/>
          </w:tcPr>
          <w:p>
            <w:pPr>
              <w:spacing w:line="380" w:lineRule="exact"/>
              <w:jc w:val="center"/>
              <w:rPr>
                <w:bCs/>
                <w:color w:val="000000"/>
                <w:kern w:val="0"/>
                <w:sz w:val="24"/>
              </w:rPr>
            </w:pPr>
            <w:r>
              <w:rPr>
                <w:bCs/>
                <w:color w:val="000000"/>
                <w:kern w:val="0"/>
                <w:sz w:val="24"/>
              </w:rPr>
              <w:t>采购设备名称</w:t>
            </w:r>
          </w:p>
        </w:tc>
        <w:tc>
          <w:tcPr>
            <w:tcW w:w="779" w:type="pct"/>
            <w:vAlign w:val="center"/>
          </w:tcPr>
          <w:p>
            <w:pPr>
              <w:spacing w:line="380" w:lineRule="exact"/>
              <w:jc w:val="center"/>
              <w:rPr>
                <w:bCs/>
                <w:color w:val="000000"/>
                <w:kern w:val="0"/>
                <w:sz w:val="24"/>
              </w:rPr>
            </w:pPr>
            <w:r>
              <w:rPr>
                <w:bCs/>
                <w:color w:val="000000"/>
                <w:kern w:val="0"/>
                <w:sz w:val="24"/>
              </w:rPr>
              <w:t>单位</w:t>
            </w:r>
          </w:p>
        </w:tc>
        <w:tc>
          <w:tcPr>
            <w:tcW w:w="631" w:type="pct"/>
            <w:vAlign w:val="center"/>
          </w:tcPr>
          <w:p>
            <w:pPr>
              <w:spacing w:line="380" w:lineRule="exact"/>
              <w:jc w:val="center"/>
              <w:rPr>
                <w:bCs/>
                <w:color w:val="000000"/>
                <w:sz w:val="24"/>
              </w:rPr>
            </w:pPr>
            <w:r>
              <w:rPr>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9" w:type="pct"/>
            <w:vAlign w:val="center"/>
          </w:tcPr>
          <w:p>
            <w:pPr>
              <w:spacing w:line="380" w:lineRule="exact"/>
              <w:jc w:val="center"/>
              <w:rPr>
                <w:bCs/>
                <w:color w:val="000000"/>
                <w:kern w:val="0"/>
                <w:sz w:val="24"/>
              </w:rPr>
            </w:pPr>
            <w:r>
              <w:rPr>
                <w:bCs/>
                <w:color w:val="000000"/>
                <w:kern w:val="0"/>
                <w:sz w:val="24"/>
              </w:rPr>
              <w:t>1</w:t>
            </w:r>
          </w:p>
        </w:tc>
        <w:tc>
          <w:tcPr>
            <w:tcW w:w="2760" w:type="pct"/>
            <w:vAlign w:val="center"/>
          </w:tcPr>
          <w:p>
            <w:pPr>
              <w:jc w:val="center"/>
              <w:rPr>
                <w:bCs/>
                <w:color w:val="000000"/>
                <w:kern w:val="0"/>
                <w:sz w:val="24"/>
              </w:rPr>
            </w:pPr>
            <w:r>
              <w:rPr>
                <w:bCs/>
                <w:color w:val="000000"/>
                <w:kern w:val="0"/>
                <w:sz w:val="24"/>
              </w:rPr>
              <w:t>机器人基础训练实验设备</w:t>
            </w:r>
          </w:p>
        </w:tc>
        <w:tc>
          <w:tcPr>
            <w:tcW w:w="779" w:type="pct"/>
            <w:vAlign w:val="center"/>
          </w:tcPr>
          <w:p>
            <w:pPr>
              <w:spacing w:line="380" w:lineRule="exact"/>
              <w:jc w:val="center"/>
              <w:rPr>
                <w:bCs/>
                <w:color w:val="000000"/>
                <w:kern w:val="0"/>
                <w:sz w:val="24"/>
              </w:rPr>
            </w:pPr>
            <w:r>
              <w:rPr>
                <w:color w:val="000000"/>
                <w:sz w:val="24"/>
              </w:rPr>
              <w:t>批</w:t>
            </w:r>
          </w:p>
        </w:tc>
        <w:tc>
          <w:tcPr>
            <w:tcW w:w="631" w:type="pct"/>
            <w:vAlign w:val="center"/>
          </w:tcPr>
          <w:p>
            <w:pPr>
              <w:spacing w:line="380" w:lineRule="exact"/>
              <w:jc w:val="center"/>
              <w:rPr>
                <w:bCs/>
                <w:color w:val="000000"/>
                <w:sz w:val="24"/>
              </w:rPr>
            </w:pPr>
            <w:r>
              <w:rPr>
                <w:bCs/>
                <w:color w:val="000000"/>
                <w:sz w:val="24"/>
              </w:rPr>
              <w:t>1</w:t>
            </w:r>
          </w:p>
        </w:tc>
      </w:tr>
    </w:tbl>
    <w:p>
      <w:pPr>
        <w:spacing w:before="312" w:beforeLines="100" w:after="312" w:afterLines="100"/>
        <w:rPr>
          <w:sz w:val="24"/>
        </w:rPr>
      </w:pPr>
      <w:r>
        <w:rPr>
          <w:sz w:val="24"/>
        </w:rPr>
        <w:t>机器人技术基础</w:t>
      </w:r>
      <w:r>
        <w:rPr>
          <w:rFonts w:hint="eastAsia"/>
          <w:sz w:val="24"/>
        </w:rPr>
        <w:t>训练</w:t>
      </w:r>
      <w:r>
        <w:rPr>
          <w:sz w:val="24"/>
        </w:rPr>
        <w:t>实验设备组成如下：</w:t>
      </w:r>
    </w:p>
    <w:tbl>
      <w:tblPr>
        <w:tblStyle w:val="16"/>
        <w:tblW w:w="83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2"/>
        <w:gridCol w:w="5523"/>
        <w:gridCol w:w="1105"/>
        <w:gridCol w:w="9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792" w:type="dxa"/>
          </w:tcPr>
          <w:p>
            <w:pPr>
              <w:pStyle w:val="37"/>
              <w:ind w:firstLine="0" w:firstLineChars="0"/>
              <w:jc w:val="center"/>
              <w:rPr>
                <w:rFonts w:ascii="Times New Roman" w:hAnsi="Times New Roman"/>
                <w:sz w:val="24"/>
                <w:szCs w:val="24"/>
              </w:rPr>
            </w:pPr>
            <w:r>
              <w:rPr>
                <w:rFonts w:ascii="Times New Roman" w:hAnsi="Times New Roman"/>
                <w:sz w:val="24"/>
                <w:szCs w:val="24"/>
              </w:rPr>
              <w:t>序号</w:t>
            </w:r>
          </w:p>
        </w:tc>
        <w:tc>
          <w:tcPr>
            <w:tcW w:w="5523" w:type="dxa"/>
          </w:tcPr>
          <w:p>
            <w:pPr>
              <w:pStyle w:val="37"/>
              <w:ind w:firstLine="0" w:firstLineChars="0"/>
              <w:jc w:val="center"/>
              <w:rPr>
                <w:rFonts w:ascii="Times New Roman" w:hAnsi="Times New Roman"/>
                <w:sz w:val="24"/>
                <w:szCs w:val="24"/>
              </w:rPr>
            </w:pPr>
            <w:r>
              <w:rPr>
                <w:rFonts w:ascii="Times New Roman" w:hAnsi="Times New Roman"/>
                <w:sz w:val="24"/>
                <w:szCs w:val="24"/>
              </w:rPr>
              <w:t>设备名称</w:t>
            </w:r>
          </w:p>
        </w:tc>
        <w:tc>
          <w:tcPr>
            <w:tcW w:w="1105" w:type="dxa"/>
            <w:vAlign w:val="center"/>
          </w:tcPr>
          <w:p>
            <w:pPr>
              <w:pStyle w:val="37"/>
              <w:ind w:firstLine="0" w:firstLineChars="0"/>
              <w:jc w:val="center"/>
              <w:rPr>
                <w:rFonts w:ascii="Times New Roman" w:hAnsi="Times New Roman"/>
                <w:sz w:val="24"/>
                <w:szCs w:val="24"/>
              </w:rPr>
            </w:pPr>
            <w:r>
              <w:rPr>
                <w:rFonts w:ascii="Times New Roman" w:hAnsi="Times New Roman"/>
                <w:sz w:val="24"/>
                <w:szCs w:val="24"/>
              </w:rPr>
              <w:t>单位</w:t>
            </w:r>
          </w:p>
        </w:tc>
        <w:tc>
          <w:tcPr>
            <w:tcW w:w="917" w:type="dxa"/>
            <w:vAlign w:val="center"/>
          </w:tcPr>
          <w:p>
            <w:pPr>
              <w:pStyle w:val="37"/>
              <w:ind w:firstLine="0" w:firstLineChars="0"/>
              <w:jc w:val="center"/>
              <w:rPr>
                <w:rFonts w:ascii="Times New Roman" w:hAnsi="Times New Roman"/>
                <w:sz w:val="24"/>
                <w:szCs w:val="24"/>
              </w:rPr>
            </w:pPr>
            <w:r>
              <w:rPr>
                <w:rFonts w:ascii="Times New Roman" w:hAnsi="Times New Roman"/>
                <w:sz w:val="24"/>
                <w:szCs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792" w:type="dxa"/>
          </w:tcPr>
          <w:p>
            <w:pPr>
              <w:pStyle w:val="37"/>
              <w:ind w:firstLine="0" w:firstLineChars="0"/>
              <w:jc w:val="center"/>
              <w:rPr>
                <w:rFonts w:ascii="Times New Roman" w:hAnsi="Times New Roman"/>
                <w:sz w:val="24"/>
                <w:szCs w:val="24"/>
              </w:rPr>
            </w:pPr>
            <w:r>
              <w:rPr>
                <w:rFonts w:ascii="Times New Roman" w:hAnsi="Times New Roman"/>
                <w:sz w:val="24"/>
                <w:szCs w:val="24"/>
              </w:rPr>
              <w:t>1</w:t>
            </w:r>
          </w:p>
        </w:tc>
        <w:tc>
          <w:tcPr>
            <w:tcW w:w="5523" w:type="dxa"/>
            <w:vAlign w:val="center"/>
          </w:tcPr>
          <w:p>
            <w:pPr>
              <w:rPr>
                <w:sz w:val="24"/>
              </w:rPr>
            </w:pPr>
            <w:r>
              <w:rPr>
                <w:sz w:val="24"/>
              </w:rPr>
              <w:t>机器人基础实验平台</w:t>
            </w:r>
          </w:p>
        </w:tc>
        <w:tc>
          <w:tcPr>
            <w:tcW w:w="1105" w:type="dxa"/>
            <w:vAlign w:val="center"/>
          </w:tcPr>
          <w:p>
            <w:pPr>
              <w:jc w:val="center"/>
              <w:rPr>
                <w:sz w:val="24"/>
              </w:rPr>
            </w:pPr>
            <w:r>
              <w:rPr>
                <w:sz w:val="24"/>
              </w:rPr>
              <w:t>套</w:t>
            </w:r>
          </w:p>
        </w:tc>
        <w:tc>
          <w:tcPr>
            <w:tcW w:w="917" w:type="dxa"/>
            <w:vAlign w:val="center"/>
          </w:tcPr>
          <w:p>
            <w:pPr>
              <w:pStyle w:val="37"/>
              <w:ind w:firstLine="0" w:firstLineChars="0"/>
              <w:jc w:val="center"/>
              <w:rPr>
                <w:rFonts w:ascii="Times New Roman" w:hAnsi="Times New Roman"/>
                <w:sz w:val="24"/>
                <w:szCs w:val="24"/>
              </w:rPr>
            </w:pPr>
            <w:r>
              <w:rPr>
                <w:rFonts w:ascii="Times New Roman" w:hAnsi="Times New Roman"/>
                <w:sz w:val="24"/>
                <w:szCs w:val="24"/>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792" w:type="dxa"/>
          </w:tcPr>
          <w:p>
            <w:pPr>
              <w:pStyle w:val="37"/>
              <w:ind w:firstLine="0" w:firstLineChars="0"/>
              <w:jc w:val="center"/>
              <w:rPr>
                <w:rFonts w:ascii="Times New Roman" w:hAnsi="Times New Roman"/>
                <w:sz w:val="24"/>
                <w:szCs w:val="24"/>
              </w:rPr>
            </w:pPr>
            <w:r>
              <w:rPr>
                <w:rFonts w:ascii="Times New Roman" w:hAnsi="Times New Roman"/>
                <w:sz w:val="24"/>
                <w:szCs w:val="24"/>
              </w:rPr>
              <w:t>2</w:t>
            </w:r>
          </w:p>
        </w:tc>
        <w:tc>
          <w:tcPr>
            <w:tcW w:w="5523" w:type="dxa"/>
            <w:vAlign w:val="center"/>
          </w:tcPr>
          <w:p>
            <w:pPr>
              <w:rPr>
                <w:sz w:val="24"/>
              </w:rPr>
            </w:pPr>
            <w:r>
              <w:rPr>
                <w:sz w:val="24"/>
              </w:rPr>
              <w:t>电路实验单元模块</w:t>
            </w:r>
          </w:p>
        </w:tc>
        <w:tc>
          <w:tcPr>
            <w:tcW w:w="1105" w:type="dxa"/>
            <w:vAlign w:val="center"/>
          </w:tcPr>
          <w:p>
            <w:pPr>
              <w:jc w:val="center"/>
              <w:rPr>
                <w:sz w:val="24"/>
              </w:rPr>
            </w:pPr>
            <w:r>
              <w:rPr>
                <w:sz w:val="24"/>
              </w:rPr>
              <w:t>套</w:t>
            </w:r>
          </w:p>
        </w:tc>
        <w:tc>
          <w:tcPr>
            <w:tcW w:w="917" w:type="dxa"/>
            <w:vAlign w:val="center"/>
          </w:tcPr>
          <w:p>
            <w:pPr>
              <w:pStyle w:val="37"/>
              <w:ind w:firstLine="0" w:firstLineChars="0"/>
              <w:jc w:val="center"/>
              <w:rPr>
                <w:rFonts w:ascii="Times New Roman" w:hAnsi="Times New Roman"/>
                <w:sz w:val="24"/>
                <w:szCs w:val="24"/>
              </w:rPr>
            </w:pPr>
            <w:r>
              <w:rPr>
                <w:rFonts w:ascii="Times New Roman" w:hAnsi="Times New Roman"/>
                <w:sz w:val="24"/>
                <w:szCs w:val="24"/>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792" w:type="dxa"/>
          </w:tcPr>
          <w:p>
            <w:pPr>
              <w:pStyle w:val="37"/>
              <w:ind w:firstLine="0" w:firstLineChars="0"/>
              <w:jc w:val="center"/>
              <w:rPr>
                <w:rFonts w:ascii="Times New Roman" w:hAnsi="Times New Roman"/>
                <w:sz w:val="24"/>
                <w:szCs w:val="24"/>
              </w:rPr>
            </w:pPr>
            <w:r>
              <w:rPr>
                <w:rFonts w:ascii="Times New Roman" w:hAnsi="Times New Roman"/>
                <w:sz w:val="24"/>
                <w:szCs w:val="24"/>
              </w:rPr>
              <w:t>3</w:t>
            </w:r>
          </w:p>
        </w:tc>
        <w:tc>
          <w:tcPr>
            <w:tcW w:w="5523" w:type="dxa"/>
            <w:vAlign w:val="center"/>
          </w:tcPr>
          <w:p>
            <w:pPr>
              <w:rPr>
                <w:sz w:val="24"/>
              </w:rPr>
            </w:pPr>
            <w:r>
              <w:rPr>
                <w:sz w:val="24"/>
              </w:rPr>
              <w:t>电子实验单元模块</w:t>
            </w:r>
          </w:p>
        </w:tc>
        <w:tc>
          <w:tcPr>
            <w:tcW w:w="1105" w:type="dxa"/>
            <w:vAlign w:val="center"/>
          </w:tcPr>
          <w:p>
            <w:pPr>
              <w:jc w:val="center"/>
              <w:rPr>
                <w:sz w:val="24"/>
              </w:rPr>
            </w:pPr>
            <w:r>
              <w:rPr>
                <w:sz w:val="24"/>
              </w:rPr>
              <w:t>套</w:t>
            </w:r>
          </w:p>
        </w:tc>
        <w:tc>
          <w:tcPr>
            <w:tcW w:w="917" w:type="dxa"/>
            <w:vAlign w:val="center"/>
          </w:tcPr>
          <w:p>
            <w:pPr>
              <w:pStyle w:val="37"/>
              <w:ind w:firstLine="0" w:firstLineChars="0"/>
              <w:jc w:val="center"/>
              <w:rPr>
                <w:rFonts w:ascii="Times New Roman" w:hAnsi="Times New Roman"/>
                <w:sz w:val="24"/>
                <w:szCs w:val="24"/>
              </w:rPr>
            </w:pPr>
            <w:r>
              <w:rPr>
                <w:rFonts w:ascii="Times New Roman" w:hAnsi="Times New Roman"/>
                <w:sz w:val="24"/>
                <w:szCs w:val="24"/>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792" w:type="dxa"/>
            <w:vAlign w:val="center"/>
          </w:tcPr>
          <w:p>
            <w:pPr>
              <w:jc w:val="center"/>
              <w:rPr>
                <w:sz w:val="24"/>
              </w:rPr>
            </w:pPr>
            <w:r>
              <w:rPr>
                <w:sz w:val="24"/>
              </w:rPr>
              <w:t>4</w:t>
            </w:r>
          </w:p>
        </w:tc>
        <w:tc>
          <w:tcPr>
            <w:tcW w:w="5523" w:type="dxa"/>
            <w:vAlign w:val="center"/>
          </w:tcPr>
          <w:p>
            <w:pPr>
              <w:rPr>
                <w:sz w:val="24"/>
              </w:rPr>
            </w:pPr>
            <w:r>
              <w:rPr>
                <w:sz w:val="24"/>
              </w:rPr>
              <w:t>高可靠护套结构手枪插实验连接线及配件</w:t>
            </w:r>
          </w:p>
        </w:tc>
        <w:tc>
          <w:tcPr>
            <w:tcW w:w="1105" w:type="dxa"/>
            <w:vAlign w:val="center"/>
          </w:tcPr>
          <w:p>
            <w:pPr>
              <w:jc w:val="center"/>
              <w:rPr>
                <w:sz w:val="24"/>
              </w:rPr>
            </w:pPr>
            <w:r>
              <w:rPr>
                <w:sz w:val="24"/>
              </w:rPr>
              <w:t>套</w:t>
            </w:r>
          </w:p>
        </w:tc>
        <w:tc>
          <w:tcPr>
            <w:tcW w:w="917" w:type="dxa"/>
            <w:vAlign w:val="center"/>
          </w:tcPr>
          <w:p>
            <w:pPr>
              <w:pStyle w:val="37"/>
              <w:ind w:firstLine="0" w:firstLineChars="0"/>
              <w:jc w:val="center"/>
              <w:rPr>
                <w:rFonts w:ascii="Times New Roman" w:hAnsi="Times New Roman"/>
                <w:sz w:val="24"/>
                <w:szCs w:val="24"/>
              </w:rPr>
            </w:pPr>
            <w:r>
              <w:rPr>
                <w:rFonts w:ascii="Times New Roman" w:hAnsi="Times New Roman"/>
                <w:sz w:val="24"/>
                <w:szCs w:val="24"/>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792" w:type="dxa"/>
            <w:vAlign w:val="center"/>
          </w:tcPr>
          <w:p>
            <w:pPr>
              <w:jc w:val="center"/>
              <w:rPr>
                <w:sz w:val="24"/>
              </w:rPr>
            </w:pPr>
            <w:r>
              <w:rPr>
                <w:sz w:val="24"/>
              </w:rPr>
              <w:t>5</w:t>
            </w:r>
          </w:p>
        </w:tc>
        <w:tc>
          <w:tcPr>
            <w:tcW w:w="5523" w:type="dxa"/>
            <w:vAlign w:val="center"/>
          </w:tcPr>
          <w:p>
            <w:pPr>
              <w:rPr>
                <w:sz w:val="24"/>
              </w:rPr>
            </w:pPr>
            <w:r>
              <w:rPr>
                <w:sz w:val="24"/>
              </w:rPr>
              <w:t>电工技能训练（含网孔板）</w:t>
            </w:r>
          </w:p>
        </w:tc>
        <w:tc>
          <w:tcPr>
            <w:tcW w:w="1105" w:type="dxa"/>
            <w:vAlign w:val="center"/>
          </w:tcPr>
          <w:p>
            <w:pPr>
              <w:jc w:val="center"/>
              <w:rPr>
                <w:sz w:val="24"/>
              </w:rPr>
            </w:pPr>
            <w:r>
              <w:rPr>
                <w:sz w:val="24"/>
              </w:rPr>
              <w:t>套</w:t>
            </w:r>
          </w:p>
        </w:tc>
        <w:tc>
          <w:tcPr>
            <w:tcW w:w="917" w:type="dxa"/>
            <w:vAlign w:val="center"/>
          </w:tcPr>
          <w:p>
            <w:pPr>
              <w:pStyle w:val="37"/>
              <w:ind w:firstLine="0" w:firstLineChars="0"/>
              <w:jc w:val="center"/>
              <w:rPr>
                <w:rFonts w:ascii="Times New Roman" w:hAnsi="Times New Roman"/>
                <w:sz w:val="24"/>
                <w:szCs w:val="24"/>
              </w:rPr>
            </w:pPr>
            <w:r>
              <w:rPr>
                <w:rFonts w:ascii="Times New Roman" w:hAnsi="Times New Roman"/>
                <w:sz w:val="24"/>
                <w:szCs w:val="24"/>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792" w:type="dxa"/>
            <w:vAlign w:val="center"/>
          </w:tcPr>
          <w:p>
            <w:pPr>
              <w:jc w:val="center"/>
              <w:rPr>
                <w:sz w:val="24"/>
              </w:rPr>
            </w:pPr>
            <w:r>
              <w:rPr>
                <w:sz w:val="24"/>
              </w:rPr>
              <w:t>6</w:t>
            </w:r>
          </w:p>
        </w:tc>
        <w:tc>
          <w:tcPr>
            <w:tcW w:w="5523" w:type="dxa"/>
            <w:vAlign w:val="center"/>
          </w:tcPr>
          <w:p>
            <w:pPr>
              <w:rPr>
                <w:sz w:val="24"/>
              </w:rPr>
            </w:pPr>
            <w:r>
              <w:rPr>
                <w:sz w:val="24"/>
              </w:rPr>
              <w:t>三相鼠笼式异步电动机380V/</w:t>
            </w:r>
            <w:r>
              <w:rPr>
                <w:rFonts w:hint="eastAsia" w:ascii="宋体" w:hAnsi="宋体" w:cs="宋体"/>
                <w:sz w:val="24"/>
              </w:rPr>
              <w:t>△</w:t>
            </w:r>
          </w:p>
        </w:tc>
        <w:tc>
          <w:tcPr>
            <w:tcW w:w="1105" w:type="dxa"/>
            <w:vAlign w:val="center"/>
          </w:tcPr>
          <w:p>
            <w:pPr>
              <w:jc w:val="center"/>
              <w:rPr>
                <w:sz w:val="24"/>
              </w:rPr>
            </w:pPr>
            <w:r>
              <w:rPr>
                <w:sz w:val="24"/>
              </w:rPr>
              <w:t>套</w:t>
            </w:r>
          </w:p>
        </w:tc>
        <w:tc>
          <w:tcPr>
            <w:tcW w:w="917" w:type="dxa"/>
            <w:vAlign w:val="center"/>
          </w:tcPr>
          <w:p>
            <w:pPr>
              <w:pStyle w:val="37"/>
              <w:ind w:firstLine="0" w:firstLineChars="0"/>
              <w:jc w:val="center"/>
              <w:rPr>
                <w:rFonts w:ascii="Times New Roman" w:hAnsi="Times New Roman"/>
                <w:sz w:val="24"/>
                <w:szCs w:val="24"/>
              </w:rPr>
            </w:pPr>
            <w:r>
              <w:rPr>
                <w:rFonts w:ascii="Times New Roman" w:hAnsi="Times New Roman"/>
                <w:sz w:val="24"/>
                <w:szCs w:val="24"/>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792" w:type="dxa"/>
            <w:vAlign w:val="center"/>
          </w:tcPr>
          <w:p>
            <w:pPr>
              <w:jc w:val="center"/>
              <w:rPr>
                <w:sz w:val="24"/>
              </w:rPr>
            </w:pPr>
            <w:r>
              <w:rPr>
                <w:sz w:val="24"/>
              </w:rPr>
              <w:t>7</w:t>
            </w:r>
          </w:p>
        </w:tc>
        <w:tc>
          <w:tcPr>
            <w:tcW w:w="5523" w:type="dxa"/>
            <w:vAlign w:val="center"/>
          </w:tcPr>
          <w:p>
            <w:pPr>
              <w:rPr>
                <w:sz w:val="24"/>
              </w:rPr>
            </w:pPr>
            <w:r>
              <w:rPr>
                <w:sz w:val="24"/>
              </w:rPr>
              <w:t>三相鼠笼式异步电动机380V/Y（带速度继电器）</w:t>
            </w:r>
          </w:p>
        </w:tc>
        <w:tc>
          <w:tcPr>
            <w:tcW w:w="1105" w:type="dxa"/>
            <w:vAlign w:val="center"/>
          </w:tcPr>
          <w:p>
            <w:pPr>
              <w:jc w:val="center"/>
              <w:rPr>
                <w:sz w:val="24"/>
              </w:rPr>
            </w:pPr>
            <w:r>
              <w:rPr>
                <w:sz w:val="24"/>
              </w:rPr>
              <w:t>套</w:t>
            </w:r>
          </w:p>
        </w:tc>
        <w:tc>
          <w:tcPr>
            <w:tcW w:w="917" w:type="dxa"/>
            <w:vAlign w:val="center"/>
          </w:tcPr>
          <w:p>
            <w:pPr>
              <w:pStyle w:val="37"/>
              <w:ind w:firstLine="0" w:firstLineChars="0"/>
              <w:jc w:val="center"/>
              <w:rPr>
                <w:rFonts w:ascii="Times New Roman" w:hAnsi="Times New Roman"/>
                <w:sz w:val="24"/>
                <w:szCs w:val="24"/>
              </w:rPr>
            </w:pPr>
            <w:r>
              <w:rPr>
                <w:rFonts w:ascii="Times New Roman" w:hAnsi="Times New Roman"/>
                <w:sz w:val="24"/>
                <w:szCs w:val="24"/>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792" w:type="dxa"/>
            <w:vAlign w:val="center"/>
          </w:tcPr>
          <w:p>
            <w:pPr>
              <w:jc w:val="center"/>
              <w:rPr>
                <w:sz w:val="24"/>
              </w:rPr>
            </w:pPr>
            <w:r>
              <w:rPr>
                <w:sz w:val="24"/>
              </w:rPr>
              <w:t>8</w:t>
            </w:r>
          </w:p>
        </w:tc>
        <w:tc>
          <w:tcPr>
            <w:tcW w:w="5523" w:type="dxa"/>
            <w:vAlign w:val="center"/>
          </w:tcPr>
          <w:p>
            <w:pPr>
              <w:rPr>
                <w:sz w:val="24"/>
              </w:rPr>
            </w:pPr>
            <w:r>
              <w:rPr>
                <w:sz w:val="24"/>
              </w:rPr>
              <w:t>三相双速异步电动机380V/YY/</w:t>
            </w:r>
            <w:r>
              <w:rPr>
                <w:rFonts w:hint="eastAsia" w:ascii="宋体" w:hAnsi="宋体" w:cs="宋体"/>
                <w:sz w:val="24"/>
              </w:rPr>
              <w:t>△</w:t>
            </w:r>
          </w:p>
        </w:tc>
        <w:tc>
          <w:tcPr>
            <w:tcW w:w="1105" w:type="dxa"/>
            <w:vAlign w:val="center"/>
          </w:tcPr>
          <w:p>
            <w:pPr>
              <w:jc w:val="center"/>
              <w:rPr>
                <w:sz w:val="24"/>
              </w:rPr>
            </w:pPr>
            <w:r>
              <w:rPr>
                <w:sz w:val="24"/>
              </w:rPr>
              <w:t>套</w:t>
            </w:r>
          </w:p>
        </w:tc>
        <w:tc>
          <w:tcPr>
            <w:tcW w:w="917" w:type="dxa"/>
            <w:vAlign w:val="center"/>
          </w:tcPr>
          <w:p>
            <w:pPr>
              <w:pStyle w:val="37"/>
              <w:ind w:firstLine="0" w:firstLineChars="0"/>
              <w:jc w:val="center"/>
              <w:rPr>
                <w:rFonts w:ascii="Times New Roman" w:hAnsi="Times New Roman"/>
                <w:sz w:val="24"/>
                <w:szCs w:val="24"/>
              </w:rPr>
            </w:pPr>
            <w:r>
              <w:rPr>
                <w:rFonts w:ascii="Times New Roman" w:hAnsi="Times New Roman"/>
                <w:sz w:val="24"/>
                <w:szCs w:val="24"/>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792" w:type="dxa"/>
            <w:vAlign w:val="center"/>
          </w:tcPr>
          <w:p>
            <w:pPr>
              <w:jc w:val="center"/>
              <w:rPr>
                <w:sz w:val="24"/>
              </w:rPr>
            </w:pPr>
            <w:r>
              <w:rPr>
                <w:sz w:val="24"/>
              </w:rPr>
              <w:t>9</w:t>
            </w:r>
          </w:p>
        </w:tc>
        <w:tc>
          <w:tcPr>
            <w:tcW w:w="5523" w:type="dxa"/>
            <w:vAlign w:val="center"/>
          </w:tcPr>
          <w:p>
            <w:pPr>
              <w:rPr>
                <w:sz w:val="24"/>
              </w:rPr>
            </w:pPr>
            <w:r>
              <w:rPr>
                <w:sz w:val="24"/>
              </w:rPr>
              <w:t>电子创新设计实验模块</w:t>
            </w:r>
          </w:p>
        </w:tc>
        <w:tc>
          <w:tcPr>
            <w:tcW w:w="1105" w:type="dxa"/>
            <w:vAlign w:val="center"/>
          </w:tcPr>
          <w:p>
            <w:pPr>
              <w:jc w:val="center"/>
              <w:rPr>
                <w:sz w:val="24"/>
              </w:rPr>
            </w:pPr>
            <w:r>
              <w:rPr>
                <w:sz w:val="24"/>
              </w:rPr>
              <w:t>套</w:t>
            </w:r>
          </w:p>
        </w:tc>
        <w:tc>
          <w:tcPr>
            <w:tcW w:w="917" w:type="dxa"/>
            <w:vAlign w:val="center"/>
          </w:tcPr>
          <w:p>
            <w:pPr>
              <w:pStyle w:val="37"/>
              <w:ind w:firstLine="0" w:firstLineChars="0"/>
              <w:jc w:val="center"/>
              <w:rPr>
                <w:rFonts w:ascii="Times New Roman" w:hAnsi="Times New Roman"/>
                <w:sz w:val="24"/>
                <w:szCs w:val="24"/>
              </w:rPr>
            </w:pPr>
            <w:r>
              <w:rPr>
                <w:rFonts w:ascii="Times New Roman" w:hAnsi="Times New Roman"/>
                <w:sz w:val="24"/>
                <w:szCs w:val="24"/>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792" w:type="dxa"/>
            <w:vAlign w:val="center"/>
          </w:tcPr>
          <w:p>
            <w:pPr>
              <w:jc w:val="center"/>
              <w:rPr>
                <w:sz w:val="24"/>
              </w:rPr>
            </w:pPr>
            <w:r>
              <w:rPr>
                <w:sz w:val="24"/>
              </w:rPr>
              <w:t>10</w:t>
            </w:r>
          </w:p>
        </w:tc>
        <w:tc>
          <w:tcPr>
            <w:tcW w:w="5523" w:type="dxa"/>
            <w:vAlign w:val="center"/>
          </w:tcPr>
          <w:p>
            <w:pPr>
              <w:rPr>
                <w:sz w:val="24"/>
              </w:rPr>
            </w:pPr>
            <w:r>
              <w:rPr>
                <w:sz w:val="24"/>
              </w:rPr>
              <w:t>单片机应用实验模块</w:t>
            </w:r>
          </w:p>
        </w:tc>
        <w:tc>
          <w:tcPr>
            <w:tcW w:w="1105" w:type="dxa"/>
            <w:vAlign w:val="center"/>
          </w:tcPr>
          <w:p>
            <w:pPr>
              <w:jc w:val="center"/>
              <w:rPr>
                <w:sz w:val="24"/>
              </w:rPr>
            </w:pPr>
            <w:r>
              <w:rPr>
                <w:sz w:val="24"/>
              </w:rPr>
              <w:t>套</w:t>
            </w:r>
          </w:p>
        </w:tc>
        <w:tc>
          <w:tcPr>
            <w:tcW w:w="917" w:type="dxa"/>
            <w:vAlign w:val="center"/>
          </w:tcPr>
          <w:p>
            <w:pPr>
              <w:pStyle w:val="37"/>
              <w:ind w:firstLine="0" w:firstLineChars="0"/>
              <w:jc w:val="center"/>
              <w:rPr>
                <w:rFonts w:ascii="Times New Roman" w:hAnsi="Times New Roman"/>
                <w:sz w:val="24"/>
                <w:szCs w:val="24"/>
              </w:rPr>
            </w:pPr>
            <w:r>
              <w:rPr>
                <w:rFonts w:ascii="Times New Roman" w:hAnsi="Times New Roman"/>
                <w:sz w:val="24"/>
                <w:szCs w:val="24"/>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792" w:type="dxa"/>
            <w:vAlign w:val="center"/>
          </w:tcPr>
          <w:p>
            <w:pPr>
              <w:jc w:val="center"/>
              <w:rPr>
                <w:sz w:val="24"/>
              </w:rPr>
            </w:pPr>
            <w:r>
              <w:rPr>
                <w:sz w:val="24"/>
              </w:rPr>
              <w:t>11</w:t>
            </w:r>
          </w:p>
        </w:tc>
        <w:tc>
          <w:tcPr>
            <w:tcW w:w="5523" w:type="dxa"/>
            <w:vAlign w:val="center"/>
          </w:tcPr>
          <w:p>
            <w:pPr>
              <w:rPr>
                <w:sz w:val="24"/>
              </w:rPr>
            </w:pPr>
            <w:r>
              <w:rPr>
                <w:sz w:val="24"/>
              </w:rPr>
              <w:t>可移动型材电脑桌</w:t>
            </w:r>
          </w:p>
        </w:tc>
        <w:tc>
          <w:tcPr>
            <w:tcW w:w="1105" w:type="dxa"/>
            <w:vAlign w:val="center"/>
          </w:tcPr>
          <w:p>
            <w:pPr>
              <w:jc w:val="center"/>
              <w:rPr>
                <w:sz w:val="24"/>
              </w:rPr>
            </w:pPr>
            <w:r>
              <w:rPr>
                <w:sz w:val="24"/>
              </w:rPr>
              <w:t>张</w:t>
            </w:r>
          </w:p>
        </w:tc>
        <w:tc>
          <w:tcPr>
            <w:tcW w:w="917" w:type="dxa"/>
            <w:vAlign w:val="center"/>
          </w:tcPr>
          <w:p>
            <w:pPr>
              <w:pStyle w:val="37"/>
              <w:ind w:firstLine="0" w:firstLineChars="0"/>
              <w:jc w:val="center"/>
              <w:rPr>
                <w:rFonts w:ascii="Times New Roman" w:hAnsi="Times New Roman"/>
                <w:sz w:val="24"/>
                <w:szCs w:val="24"/>
              </w:rPr>
            </w:pPr>
            <w:r>
              <w:rPr>
                <w:rFonts w:ascii="Times New Roman" w:hAnsi="Times New Roman"/>
                <w:sz w:val="24"/>
                <w:szCs w:val="24"/>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792" w:type="dxa"/>
            <w:vAlign w:val="center"/>
          </w:tcPr>
          <w:p>
            <w:pPr>
              <w:jc w:val="center"/>
              <w:rPr>
                <w:sz w:val="24"/>
              </w:rPr>
            </w:pPr>
            <w:r>
              <w:rPr>
                <w:sz w:val="24"/>
              </w:rPr>
              <w:t>12</w:t>
            </w:r>
          </w:p>
        </w:tc>
        <w:tc>
          <w:tcPr>
            <w:tcW w:w="5523" w:type="dxa"/>
            <w:vAlign w:val="center"/>
          </w:tcPr>
          <w:p>
            <w:pPr>
              <w:rPr>
                <w:sz w:val="24"/>
              </w:rPr>
            </w:pPr>
            <w:r>
              <w:rPr>
                <w:sz w:val="24"/>
              </w:rPr>
              <w:t>存储柜（定制）</w:t>
            </w:r>
          </w:p>
        </w:tc>
        <w:tc>
          <w:tcPr>
            <w:tcW w:w="1105" w:type="dxa"/>
            <w:vAlign w:val="center"/>
          </w:tcPr>
          <w:p>
            <w:pPr>
              <w:jc w:val="center"/>
              <w:rPr>
                <w:sz w:val="24"/>
              </w:rPr>
            </w:pPr>
            <w:r>
              <w:rPr>
                <w:sz w:val="24"/>
              </w:rPr>
              <w:t>个</w:t>
            </w:r>
          </w:p>
        </w:tc>
        <w:tc>
          <w:tcPr>
            <w:tcW w:w="917" w:type="dxa"/>
            <w:vAlign w:val="center"/>
          </w:tcPr>
          <w:p>
            <w:pPr>
              <w:pStyle w:val="37"/>
              <w:ind w:firstLine="0" w:firstLineChars="0"/>
              <w:jc w:val="center"/>
              <w:rPr>
                <w:rFonts w:ascii="Times New Roman" w:hAnsi="Times New Roman"/>
                <w:sz w:val="24"/>
                <w:szCs w:val="24"/>
              </w:rPr>
            </w:pPr>
            <w:r>
              <w:rPr>
                <w:rFonts w:ascii="Times New Roman" w:hAnsi="Times New Roman"/>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792" w:type="dxa"/>
            <w:vAlign w:val="center"/>
          </w:tcPr>
          <w:p>
            <w:pPr>
              <w:jc w:val="center"/>
              <w:rPr>
                <w:sz w:val="24"/>
              </w:rPr>
            </w:pPr>
            <w:r>
              <w:rPr>
                <w:sz w:val="24"/>
              </w:rPr>
              <w:t>13</w:t>
            </w:r>
          </w:p>
        </w:tc>
        <w:tc>
          <w:tcPr>
            <w:tcW w:w="5523" w:type="dxa"/>
            <w:vAlign w:val="center"/>
          </w:tcPr>
          <w:p>
            <w:pPr>
              <w:rPr>
                <w:sz w:val="24"/>
              </w:rPr>
            </w:pPr>
            <w:r>
              <w:rPr>
                <w:sz w:val="24"/>
              </w:rPr>
              <w:t>联想台式电脑I7+独立显卡</w:t>
            </w:r>
          </w:p>
        </w:tc>
        <w:tc>
          <w:tcPr>
            <w:tcW w:w="1105" w:type="dxa"/>
            <w:vAlign w:val="center"/>
          </w:tcPr>
          <w:p>
            <w:pPr>
              <w:jc w:val="center"/>
              <w:rPr>
                <w:sz w:val="24"/>
              </w:rPr>
            </w:pPr>
            <w:r>
              <w:rPr>
                <w:sz w:val="24"/>
              </w:rPr>
              <w:t>台</w:t>
            </w:r>
          </w:p>
        </w:tc>
        <w:tc>
          <w:tcPr>
            <w:tcW w:w="917" w:type="dxa"/>
            <w:vAlign w:val="center"/>
          </w:tcPr>
          <w:p>
            <w:pPr>
              <w:pStyle w:val="37"/>
              <w:ind w:firstLine="0" w:firstLineChars="0"/>
              <w:jc w:val="center"/>
              <w:rPr>
                <w:rFonts w:ascii="Times New Roman" w:hAnsi="Times New Roman"/>
                <w:sz w:val="24"/>
                <w:szCs w:val="24"/>
              </w:rPr>
            </w:pPr>
            <w:r>
              <w:rPr>
                <w:rFonts w:ascii="Times New Roman" w:hAnsi="Times New Roman"/>
                <w:sz w:val="24"/>
                <w:szCs w:val="24"/>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792" w:type="dxa"/>
            <w:vAlign w:val="center"/>
          </w:tcPr>
          <w:p>
            <w:pPr>
              <w:jc w:val="center"/>
              <w:rPr>
                <w:sz w:val="24"/>
              </w:rPr>
            </w:pPr>
            <w:r>
              <w:rPr>
                <w:sz w:val="24"/>
              </w:rPr>
              <w:t>14</w:t>
            </w:r>
          </w:p>
        </w:tc>
        <w:tc>
          <w:tcPr>
            <w:tcW w:w="5523" w:type="dxa"/>
            <w:vAlign w:val="center"/>
          </w:tcPr>
          <w:p>
            <w:pPr>
              <w:rPr>
                <w:sz w:val="24"/>
              </w:rPr>
            </w:pPr>
            <w:r>
              <w:rPr>
                <w:sz w:val="24"/>
              </w:rPr>
              <w:t>钢制多媒体教学讲台</w:t>
            </w:r>
          </w:p>
        </w:tc>
        <w:tc>
          <w:tcPr>
            <w:tcW w:w="1105" w:type="dxa"/>
            <w:vAlign w:val="center"/>
          </w:tcPr>
          <w:p>
            <w:pPr>
              <w:jc w:val="center"/>
              <w:rPr>
                <w:sz w:val="24"/>
              </w:rPr>
            </w:pPr>
            <w:r>
              <w:rPr>
                <w:sz w:val="24"/>
              </w:rPr>
              <w:t>张</w:t>
            </w:r>
          </w:p>
        </w:tc>
        <w:tc>
          <w:tcPr>
            <w:tcW w:w="917" w:type="dxa"/>
            <w:vAlign w:val="center"/>
          </w:tcPr>
          <w:p>
            <w:pPr>
              <w:pStyle w:val="37"/>
              <w:ind w:firstLine="0" w:firstLineChars="0"/>
              <w:jc w:val="center"/>
              <w:rPr>
                <w:rFonts w:ascii="Times New Roman" w:hAnsi="Times New Roman"/>
                <w:sz w:val="24"/>
                <w:szCs w:val="24"/>
              </w:rPr>
            </w:pPr>
            <w:r>
              <w:rPr>
                <w:rFonts w:ascii="Times New Roman" w:hAnsi="Times New Roman"/>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792" w:type="dxa"/>
            <w:vAlign w:val="center"/>
          </w:tcPr>
          <w:p>
            <w:pPr>
              <w:jc w:val="center"/>
              <w:rPr>
                <w:sz w:val="24"/>
              </w:rPr>
            </w:pPr>
            <w:r>
              <w:rPr>
                <w:sz w:val="24"/>
              </w:rPr>
              <w:t>15</w:t>
            </w:r>
          </w:p>
        </w:tc>
        <w:tc>
          <w:tcPr>
            <w:tcW w:w="5523" w:type="dxa"/>
            <w:vAlign w:val="center"/>
          </w:tcPr>
          <w:p>
            <w:pPr>
              <w:rPr>
                <w:sz w:val="24"/>
              </w:rPr>
            </w:pPr>
            <w:r>
              <w:rPr>
                <w:sz w:val="24"/>
              </w:rPr>
              <w:t>教师椅</w:t>
            </w:r>
          </w:p>
        </w:tc>
        <w:tc>
          <w:tcPr>
            <w:tcW w:w="1105" w:type="dxa"/>
            <w:vAlign w:val="center"/>
          </w:tcPr>
          <w:p>
            <w:pPr>
              <w:jc w:val="center"/>
              <w:rPr>
                <w:sz w:val="24"/>
              </w:rPr>
            </w:pPr>
            <w:r>
              <w:rPr>
                <w:sz w:val="24"/>
              </w:rPr>
              <w:t>条</w:t>
            </w:r>
          </w:p>
        </w:tc>
        <w:tc>
          <w:tcPr>
            <w:tcW w:w="917" w:type="dxa"/>
            <w:vAlign w:val="center"/>
          </w:tcPr>
          <w:p>
            <w:pPr>
              <w:pStyle w:val="37"/>
              <w:ind w:firstLine="0" w:firstLineChars="0"/>
              <w:jc w:val="center"/>
              <w:rPr>
                <w:rFonts w:ascii="Times New Roman" w:hAnsi="Times New Roman"/>
                <w:sz w:val="24"/>
                <w:szCs w:val="24"/>
              </w:rPr>
            </w:pPr>
            <w:r>
              <w:rPr>
                <w:rFonts w:ascii="Times New Roman" w:hAnsi="Times New Roman"/>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792" w:type="dxa"/>
            <w:vAlign w:val="center"/>
          </w:tcPr>
          <w:p>
            <w:pPr>
              <w:jc w:val="center"/>
              <w:rPr>
                <w:sz w:val="24"/>
              </w:rPr>
            </w:pPr>
            <w:r>
              <w:rPr>
                <w:sz w:val="24"/>
              </w:rPr>
              <w:t>16</w:t>
            </w:r>
          </w:p>
        </w:tc>
        <w:tc>
          <w:tcPr>
            <w:tcW w:w="5523" w:type="dxa"/>
            <w:vAlign w:val="center"/>
          </w:tcPr>
          <w:p>
            <w:pPr>
              <w:rPr>
                <w:sz w:val="24"/>
              </w:rPr>
            </w:pPr>
            <w:r>
              <w:rPr>
                <w:sz w:val="24"/>
              </w:rPr>
              <w:t>交互式智能平板</w:t>
            </w:r>
          </w:p>
        </w:tc>
        <w:tc>
          <w:tcPr>
            <w:tcW w:w="1105" w:type="dxa"/>
            <w:vAlign w:val="center"/>
          </w:tcPr>
          <w:p>
            <w:pPr>
              <w:jc w:val="center"/>
              <w:rPr>
                <w:sz w:val="24"/>
              </w:rPr>
            </w:pPr>
            <w:r>
              <w:rPr>
                <w:sz w:val="24"/>
              </w:rPr>
              <w:t>套</w:t>
            </w:r>
          </w:p>
        </w:tc>
        <w:tc>
          <w:tcPr>
            <w:tcW w:w="917" w:type="dxa"/>
            <w:vAlign w:val="center"/>
          </w:tcPr>
          <w:p>
            <w:pPr>
              <w:pStyle w:val="37"/>
              <w:ind w:firstLine="0" w:firstLineChars="0"/>
              <w:jc w:val="center"/>
              <w:rPr>
                <w:rFonts w:ascii="Times New Roman" w:hAnsi="Times New Roman"/>
                <w:sz w:val="24"/>
                <w:szCs w:val="24"/>
              </w:rPr>
            </w:pPr>
            <w:r>
              <w:rPr>
                <w:rFonts w:ascii="Times New Roman" w:hAnsi="Times New Roman"/>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792" w:type="dxa"/>
            <w:vAlign w:val="center"/>
          </w:tcPr>
          <w:p>
            <w:pPr>
              <w:jc w:val="center"/>
              <w:rPr>
                <w:sz w:val="24"/>
              </w:rPr>
            </w:pPr>
            <w:r>
              <w:rPr>
                <w:sz w:val="24"/>
              </w:rPr>
              <w:t>17</w:t>
            </w:r>
          </w:p>
        </w:tc>
        <w:tc>
          <w:tcPr>
            <w:tcW w:w="5523" w:type="dxa"/>
            <w:vAlign w:val="center"/>
          </w:tcPr>
          <w:p>
            <w:pPr>
              <w:rPr>
                <w:sz w:val="24"/>
              </w:rPr>
            </w:pPr>
            <w:r>
              <w:rPr>
                <w:sz w:val="24"/>
              </w:rPr>
              <w:t>学生凳(木质面板,方管凳脚)</w:t>
            </w:r>
          </w:p>
        </w:tc>
        <w:tc>
          <w:tcPr>
            <w:tcW w:w="1105" w:type="dxa"/>
            <w:vAlign w:val="center"/>
          </w:tcPr>
          <w:p>
            <w:pPr>
              <w:jc w:val="center"/>
              <w:rPr>
                <w:sz w:val="24"/>
              </w:rPr>
            </w:pPr>
            <w:r>
              <w:rPr>
                <w:sz w:val="24"/>
              </w:rPr>
              <w:t>条</w:t>
            </w:r>
          </w:p>
        </w:tc>
        <w:tc>
          <w:tcPr>
            <w:tcW w:w="917" w:type="dxa"/>
            <w:vAlign w:val="center"/>
          </w:tcPr>
          <w:p>
            <w:pPr>
              <w:pStyle w:val="37"/>
              <w:ind w:firstLine="0" w:firstLineChars="0"/>
              <w:jc w:val="center"/>
              <w:rPr>
                <w:rFonts w:ascii="Times New Roman" w:hAnsi="Times New Roman"/>
                <w:sz w:val="24"/>
                <w:szCs w:val="24"/>
              </w:rPr>
            </w:pPr>
            <w:r>
              <w:rPr>
                <w:rFonts w:ascii="Times New Roman" w:hAnsi="Times New Roman"/>
                <w:sz w:val="24"/>
                <w:szCs w:val="24"/>
              </w:rPr>
              <w:t>40</w:t>
            </w:r>
          </w:p>
        </w:tc>
      </w:tr>
    </w:tbl>
    <w:p>
      <w:pPr>
        <w:pStyle w:val="37"/>
        <w:ind w:left="420" w:firstLine="0" w:firstLineChars="0"/>
        <w:rPr>
          <w:rFonts w:ascii="Times New Roman" w:hAnsi="Times New Roman"/>
          <w:b/>
          <w:sz w:val="24"/>
        </w:rPr>
      </w:pPr>
    </w:p>
    <w:p>
      <w:pPr>
        <w:adjustRightInd w:val="0"/>
        <w:snapToGrid w:val="0"/>
        <w:spacing w:line="360" w:lineRule="auto"/>
        <w:ind w:firstLine="482" w:firstLineChars="200"/>
        <w:outlineLvl w:val="1"/>
        <w:rPr>
          <w:b/>
          <w:color w:val="000000"/>
          <w:sz w:val="24"/>
        </w:rPr>
      </w:pPr>
      <w:r>
        <w:rPr>
          <w:b/>
          <w:color w:val="000000"/>
          <w:sz w:val="24"/>
        </w:rPr>
        <w:t>二、项目总体要求</w:t>
      </w:r>
    </w:p>
    <w:p>
      <w:pPr>
        <w:adjustRightInd w:val="0"/>
        <w:snapToGrid w:val="0"/>
        <w:spacing w:line="360" w:lineRule="auto"/>
        <w:ind w:firstLine="480" w:firstLineChars="200"/>
        <w:rPr>
          <w:color w:val="000000"/>
          <w:sz w:val="24"/>
        </w:rPr>
      </w:pPr>
      <w:r>
        <w:rPr>
          <w:color w:val="000000"/>
          <w:sz w:val="24"/>
        </w:rPr>
        <w:t>1.服务要求</w:t>
      </w:r>
    </w:p>
    <w:p>
      <w:pPr>
        <w:adjustRightInd w:val="0"/>
        <w:snapToGrid w:val="0"/>
        <w:spacing w:line="360" w:lineRule="auto"/>
        <w:ind w:firstLine="480" w:firstLineChars="200"/>
        <w:rPr>
          <w:color w:val="000000"/>
          <w:sz w:val="24"/>
        </w:rPr>
      </w:pPr>
      <w:r>
        <w:rPr>
          <w:color w:val="000000"/>
          <w:sz w:val="24"/>
        </w:rPr>
        <w:t>投标人具有稳定、可靠的服务机构，并设有一定规模的备件库</w:t>
      </w:r>
      <w:r>
        <w:rPr>
          <w:rFonts w:hint="eastAsia"/>
          <w:color w:val="000000"/>
          <w:sz w:val="24"/>
        </w:rPr>
        <w:t>，</w:t>
      </w:r>
      <w:r>
        <w:rPr>
          <w:color w:val="000000"/>
          <w:sz w:val="24"/>
        </w:rPr>
        <w:t>具有可靠的技术培训和应用支持能力。</w:t>
      </w:r>
    </w:p>
    <w:p>
      <w:pPr>
        <w:adjustRightInd w:val="0"/>
        <w:snapToGrid w:val="0"/>
        <w:spacing w:line="360" w:lineRule="auto"/>
        <w:ind w:firstLine="480" w:firstLineChars="200"/>
        <w:rPr>
          <w:color w:val="000000"/>
          <w:sz w:val="24"/>
        </w:rPr>
      </w:pPr>
      <w:r>
        <w:rPr>
          <w:color w:val="000000"/>
          <w:sz w:val="24"/>
        </w:rPr>
        <w:t>2.质量要求</w:t>
      </w:r>
    </w:p>
    <w:p>
      <w:pPr>
        <w:adjustRightInd w:val="0"/>
        <w:snapToGrid w:val="0"/>
        <w:spacing w:line="360" w:lineRule="auto"/>
        <w:ind w:firstLine="480" w:firstLineChars="200"/>
        <w:rPr>
          <w:color w:val="000000"/>
          <w:sz w:val="24"/>
        </w:rPr>
      </w:pPr>
      <w:r>
        <w:rPr>
          <w:color w:val="000000"/>
          <w:sz w:val="24"/>
        </w:rPr>
        <w:t>硬件设备结构设计合理，有性能稳定及安全可靠，并且造型美观，操作、维护方便。设备的安全防护技术应符合国家标准或相关的国际标准；设备具备自诊断功能，具有安全防护及遇到故障的报警能力。</w:t>
      </w:r>
    </w:p>
    <w:p>
      <w:pPr>
        <w:adjustRightInd w:val="0"/>
        <w:snapToGrid w:val="0"/>
        <w:spacing w:line="360" w:lineRule="auto"/>
        <w:ind w:firstLine="480" w:firstLineChars="200"/>
        <w:rPr>
          <w:color w:val="000000"/>
          <w:sz w:val="24"/>
        </w:rPr>
      </w:pPr>
      <w:bookmarkStart w:id="5" w:name="OLE_LINK1"/>
      <w:r>
        <w:rPr>
          <w:color w:val="000000"/>
          <w:sz w:val="24"/>
        </w:rPr>
        <w:t>3.使用环境：电压380V±5%，工作温度0</w:t>
      </w:r>
      <w:r>
        <w:rPr>
          <w:rFonts w:hint="eastAsia" w:ascii="宋体" w:hAnsi="宋体" w:cs="宋体"/>
          <w:color w:val="000000"/>
          <w:sz w:val="24"/>
        </w:rPr>
        <w:t>℃</w:t>
      </w:r>
      <w:r>
        <w:rPr>
          <w:color w:val="000000"/>
          <w:sz w:val="24"/>
        </w:rPr>
        <w:t>~45</w:t>
      </w:r>
      <w:r>
        <w:rPr>
          <w:rFonts w:hint="eastAsia" w:ascii="宋体" w:hAnsi="宋体" w:cs="宋体"/>
          <w:color w:val="000000"/>
          <w:sz w:val="24"/>
        </w:rPr>
        <w:t>℃</w:t>
      </w:r>
      <w:r>
        <w:rPr>
          <w:color w:val="000000"/>
          <w:sz w:val="24"/>
        </w:rPr>
        <w:t>，工作频率50~60Hz</w:t>
      </w:r>
      <w:bookmarkEnd w:id="5"/>
      <w:r>
        <w:rPr>
          <w:color w:val="000000"/>
          <w:sz w:val="24"/>
        </w:rPr>
        <w:t>。</w:t>
      </w:r>
    </w:p>
    <w:p>
      <w:pPr>
        <w:adjustRightInd w:val="0"/>
        <w:snapToGrid w:val="0"/>
        <w:spacing w:line="360" w:lineRule="auto"/>
        <w:ind w:firstLine="482" w:firstLineChars="200"/>
        <w:outlineLvl w:val="1"/>
        <w:rPr>
          <w:b/>
          <w:color w:val="000000"/>
          <w:sz w:val="24"/>
        </w:rPr>
      </w:pPr>
      <w:r>
        <w:rPr>
          <w:b/>
          <w:color w:val="000000"/>
          <w:sz w:val="24"/>
        </w:rPr>
        <w:t>三、技术要求：</w:t>
      </w:r>
    </w:p>
    <w:p>
      <w:pPr>
        <w:adjustRightInd w:val="0"/>
        <w:snapToGrid w:val="0"/>
        <w:spacing w:line="360" w:lineRule="auto"/>
        <w:ind w:firstLine="482" w:firstLineChars="200"/>
        <w:outlineLvl w:val="2"/>
        <w:rPr>
          <w:b/>
          <w:bCs/>
          <w:sz w:val="24"/>
        </w:rPr>
      </w:pPr>
      <w:r>
        <w:rPr>
          <w:b/>
          <w:bCs/>
          <w:sz w:val="24"/>
        </w:rPr>
        <w:t>（一）机器人基础实验平台</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837"/>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12" w:type="pct"/>
            <w:vAlign w:val="center"/>
          </w:tcPr>
          <w:p>
            <w:pPr>
              <w:spacing w:line="320" w:lineRule="exact"/>
              <w:jc w:val="center"/>
              <w:rPr>
                <w:b/>
                <w:bCs/>
                <w:szCs w:val="21"/>
              </w:rPr>
            </w:pPr>
            <w:r>
              <w:rPr>
                <w:b/>
                <w:bCs/>
                <w:szCs w:val="21"/>
              </w:rPr>
              <w:t>序号</w:t>
            </w:r>
          </w:p>
        </w:tc>
        <w:tc>
          <w:tcPr>
            <w:tcW w:w="491" w:type="pct"/>
            <w:vAlign w:val="center"/>
          </w:tcPr>
          <w:p>
            <w:pPr>
              <w:spacing w:line="320" w:lineRule="exact"/>
              <w:jc w:val="center"/>
              <w:rPr>
                <w:b/>
                <w:bCs/>
                <w:szCs w:val="21"/>
              </w:rPr>
            </w:pPr>
            <w:r>
              <w:rPr>
                <w:b/>
                <w:bCs/>
                <w:szCs w:val="21"/>
              </w:rPr>
              <w:t>名称</w:t>
            </w:r>
          </w:p>
        </w:tc>
        <w:tc>
          <w:tcPr>
            <w:tcW w:w="4097" w:type="pct"/>
            <w:vAlign w:val="center"/>
          </w:tcPr>
          <w:p>
            <w:pPr>
              <w:shd w:val="clear" w:color="auto" w:fill="FFFFFF"/>
              <w:spacing w:line="320" w:lineRule="exact"/>
              <w:jc w:val="center"/>
              <w:rPr>
                <w:b/>
                <w:bCs/>
                <w:szCs w:val="21"/>
              </w:rPr>
            </w:pPr>
            <w:r>
              <w:rPr>
                <w:b/>
                <w:bCs/>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12" w:type="pct"/>
            <w:vMerge w:val="restart"/>
            <w:vAlign w:val="center"/>
          </w:tcPr>
          <w:p>
            <w:pPr>
              <w:spacing w:line="320" w:lineRule="exact"/>
              <w:jc w:val="center"/>
              <w:rPr>
                <w:szCs w:val="21"/>
              </w:rPr>
            </w:pPr>
            <w:r>
              <w:rPr>
                <w:szCs w:val="21"/>
              </w:rPr>
              <w:t>1</w:t>
            </w:r>
          </w:p>
        </w:tc>
        <w:tc>
          <w:tcPr>
            <w:tcW w:w="491" w:type="pct"/>
            <w:vMerge w:val="restart"/>
            <w:vAlign w:val="center"/>
          </w:tcPr>
          <w:p>
            <w:pPr>
              <w:spacing w:line="320" w:lineRule="exact"/>
              <w:jc w:val="center"/>
              <w:rPr>
                <w:szCs w:val="21"/>
              </w:rPr>
            </w:pPr>
            <w:r>
              <w:rPr>
                <w:szCs w:val="21"/>
              </w:rPr>
              <w:t>技术性能要求</w:t>
            </w:r>
          </w:p>
        </w:tc>
        <w:tc>
          <w:tcPr>
            <w:tcW w:w="4097" w:type="pct"/>
            <w:vAlign w:val="center"/>
          </w:tcPr>
          <w:p>
            <w:pPr>
              <w:shd w:val="clear" w:color="auto" w:fill="FFFFFF"/>
              <w:spacing w:line="320" w:lineRule="exact"/>
              <w:rPr>
                <w:szCs w:val="21"/>
              </w:rPr>
            </w:pPr>
            <w:r>
              <w:rPr>
                <w:szCs w:val="21"/>
              </w:rPr>
              <w:t>输入电源：三相四线(或三相五线)AC380V±10%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szCs w:val="21"/>
              </w:rPr>
            </w:pPr>
            <w:r>
              <w:rPr>
                <w:szCs w:val="21"/>
              </w:rPr>
              <w:t>安全保护：要求具有漏电压、漏电流和过载保护等功能，安全符合国家相关标准。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szCs w:val="21"/>
              </w:rPr>
            </w:pPr>
            <w:r>
              <w:rPr>
                <w:szCs w:val="21"/>
              </w:rPr>
              <w:t>操作面板要求采用铝制面板，面板厚度≥2mm，文字符号要求采用现代彩色喷描技术处理，面板标识清晰且经久耐用。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szCs w:val="21"/>
              </w:rPr>
            </w:pPr>
            <w:r>
              <w:rPr>
                <w:szCs w:val="21"/>
              </w:rPr>
              <w:t>测量仪表要求精度高，采用数字化、智能化、一体化模式，各种仪表均有可靠的保护功能，可扩展485通信。仪器仪表、专用电源到实验连接专用导线等均配套齐全，仪器仪表的性能、精度、规格等均密切结合实验的需要进行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szCs w:val="21"/>
              </w:rPr>
            </w:pPr>
            <w:r>
              <w:rPr>
                <w:szCs w:val="21"/>
              </w:rPr>
              <w:t>实验室电源保护要求：提供互联网+实验室安全监测系统，须采用一体化设计，7寸触摸屏显示，对实验室电源监控、保护设备（漏电、欠压、过压、过流）、故障诊断，保证实验室用电安全。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szCs w:val="21"/>
              </w:rPr>
            </w:pPr>
            <w:r>
              <w:rPr>
                <w:szCs w:val="21"/>
              </w:rPr>
              <w:t>设备电源要求采用智能无线和本地两种管理方式，配置智能管理器、教师管控系统等。教师管控系统应能通过手持无线管理器的管控系统软件与管理终端进行数据交换，对实验装置进行电源通断、定时等控制，并有报警次数、学生信息、误操作类型等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szCs w:val="21"/>
              </w:rPr>
            </w:pPr>
            <w:r>
              <w:rPr>
                <w:szCs w:val="21"/>
              </w:rPr>
              <w:t>实验平台要求具有完善的人身安全保护和设备安全保护体系，提供智能电源保护系统，具有漏电、过流、短路等保护功能。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restart"/>
            <w:vAlign w:val="center"/>
          </w:tcPr>
          <w:p>
            <w:pPr>
              <w:spacing w:line="320" w:lineRule="exact"/>
              <w:jc w:val="center"/>
              <w:rPr>
                <w:szCs w:val="21"/>
              </w:rPr>
            </w:pPr>
            <w:r>
              <w:rPr>
                <w:szCs w:val="21"/>
              </w:rPr>
              <w:t>2</w:t>
            </w:r>
          </w:p>
        </w:tc>
        <w:tc>
          <w:tcPr>
            <w:tcW w:w="491" w:type="pct"/>
            <w:vMerge w:val="restart"/>
            <w:vAlign w:val="center"/>
          </w:tcPr>
          <w:p>
            <w:pPr>
              <w:spacing w:line="320" w:lineRule="exact"/>
              <w:jc w:val="center"/>
              <w:rPr>
                <w:szCs w:val="21"/>
              </w:rPr>
            </w:pPr>
            <w:r>
              <w:rPr>
                <w:szCs w:val="21"/>
              </w:rPr>
              <w:t>交流电源配置要求</w:t>
            </w:r>
          </w:p>
        </w:tc>
        <w:tc>
          <w:tcPr>
            <w:tcW w:w="4097" w:type="pct"/>
            <w:vAlign w:val="center"/>
          </w:tcPr>
          <w:p>
            <w:pPr>
              <w:spacing w:line="320" w:lineRule="exact"/>
              <w:rPr>
                <w:szCs w:val="21"/>
              </w:rPr>
            </w:pPr>
            <w:r>
              <w:rPr>
                <w:bCs/>
                <w:szCs w:val="21"/>
              </w:rPr>
              <w:t>提供三相380V及单相0～250V连续可调交流电源。配有交流电压表，通过切换开关分别指示三相输出电压和调压输出电压。</w:t>
            </w:r>
            <w:r>
              <w:rPr>
                <w:spacing w:val="-2"/>
                <w:szCs w:val="21"/>
              </w:rPr>
              <w:t>交流电源输出设有智能电源保护系统，相间、线间过电流及直接短路均能自动保护。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bCs/>
                <w:szCs w:val="21"/>
              </w:rPr>
            </w:pPr>
            <w:r>
              <w:rPr>
                <w:bCs/>
                <w:szCs w:val="21"/>
              </w:rPr>
              <w:t>30W日光灯灯管一支，将灯管灯丝的四个头引出，供实验用。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bCs/>
                <w:szCs w:val="21"/>
              </w:rPr>
            </w:pPr>
            <w:r>
              <w:rPr>
                <w:bCs/>
                <w:szCs w:val="21"/>
              </w:rPr>
              <w:t>提供低压交流电源0V、6V、10V、14V抽头一路及中心抽头17V两路，输出端具有短路保护、过载保护及自动复位功能。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restart"/>
            <w:vAlign w:val="center"/>
          </w:tcPr>
          <w:p>
            <w:pPr>
              <w:spacing w:line="320" w:lineRule="exact"/>
              <w:jc w:val="center"/>
              <w:rPr>
                <w:szCs w:val="21"/>
              </w:rPr>
            </w:pPr>
            <w:r>
              <w:rPr>
                <w:szCs w:val="21"/>
              </w:rPr>
              <w:t>3</w:t>
            </w:r>
          </w:p>
        </w:tc>
        <w:tc>
          <w:tcPr>
            <w:tcW w:w="491" w:type="pct"/>
            <w:vMerge w:val="restart"/>
            <w:vAlign w:val="center"/>
          </w:tcPr>
          <w:p>
            <w:pPr>
              <w:spacing w:line="320" w:lineRule="exact"/>
              <w:jc w:val="center"/>
              <w:rPr>
                <w:szCs w:val="21"/>
              </w:rPr>
            </w:pPr>
            <w:r>
              <w:rPr>
                <w:szCs w:val="21"/>
              </w:rPr>
              <w:t>直流稳压电源</w:t>
            </w:r>
          </w:p>
        </w:tc>
        <w:tc>
          <w:tcPr>
            <w:tcW w:w="4097" w:type="pct"/>
            <w:vAlign w:val="center"/>
          </w:tcPr>
          <w:p>
            <w:pPr>
              <w:spacing w:line="320" w:lineRule="exact"/>
              <w:rPr>
                <w:szCs w:val="21"/>
              </w:rPr>
            </w:pPr>
            <w:r>
              <w:rPr>
                <w:szCs w:val="21"/>
              </w:rPr>
              <w:t>▲要求采用柜装仪表，一体化设计；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szCs w:val="21"/>
              </w:rPr>
            </w:pPr>
            <w:r>
              <w:rPr>
                <w:szCs w:val="21"/>
              </w:rPr>
              <w:t>数量：2路可调输出，四路固定输出；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bCs/>
                <w:szCs w:val="21"/>
              </w:rPr>
            </w:pPr>
            <w:r>
              <w:rPr>
                <w:bCs/>
                <w:szCs w:val="21"/>
              </w:rPr>
              <w:t xml:space="preserve">输出：高精度可控恒压恒流输出0～30.5V/1A，±12V、±5V固定输出；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bCs/>
                <w:szCs w:val="21"/>
              </w:rPr>
            </w:pPr>
            <w:r>
              <w:rPr>
                <w:bCs/>
                <w:szCs w:val="21"/>
              </w:rPr>
              <w:t>显示：5位LED数码管显示，第一位显示功能码，后4位显示设定电压值；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bCs/>
                <w:szCs w:val="21"/>
              </w:rPr>
            </w:pPr>
            <w:r>
              <w:rPr>
                <w:bCs/>
                <w:szCs w:val="21"/>
              </w:rPr>
              <w:t>电压4位显示，最小分辨率</w:t>
            </w:r>
            <w:r>
              <w:rPr>
                <w:rFonts w:hint="eastAsia"/>
                <w:bCs/>
                <w:szCs w:val="21"/>
              </w:rPr>
              <w:t>不大于</w:t>
            </w:r>
            <w:r>
              <w:rPr>
                <w:bCs/>
                <w:szCs w:val="21"/>
              </w:rPr>
              <w:t>10mV；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bCs/>
                <w:szCs w:val="21"/>
              </w:rPr>
            </w:pPr>
            <w:r>
              <w:rPr>
                <w:szCs w:val="21"/>
              </w:rPr>
              <w:t>▲</w:t>
            </w:r>
            <w:r>
              <w:rPr>
                <w:bCs/>
                <w:szCs w:val="21"/>
              </w:rPr>
              <w:t>通过按键设定输出电压；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bCs/>
                <w:szCs w:val="21"/>
              </w:rPr>
            </w:pPr>
            <w:r>
              <w:rPr>
                <w:szCs w:val="21"/>
              </w:rPr>
              <w:t>▲</w:t>
            </w:r>
            <w:r>
              <w:rPr>
                <w:bCs/>
                <w:szCs w:val="21"/>
              </w:rPr>
              <w:t>要求每路输出均具有短路、过载保护和自动恢复功能。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restart"/>
            <w:vAlign w:val="center"/>
          </w:tcPr>
          <w:p>
            <w:pPr>
              <w:spacing w:line="320" w:lineRule="exact"/>
              <w:jc w:val="center"/>
              <w:rPr>
                <w:szCs w:val="21"/>
              </w:rPr>
            </w:pPr>
            <w:r>
              <w:rPr>
                <w:szCs w:val="21"/>
              </w:rPr>
              <w:t>4</w:t>
            </w:r>
          </w:p>
        </w:tc>
        <w:tc>
          <w:tcPr>
            <w:tcW w:w="491" w:type="pct"/>
            <w:vMerge w:val="restart"/>
            <w:vAlign w:val="center"/>
          </w:tcPr>
          <w:p>
            <w:pPr>
              <w:spacing w:line="320" w:lineRule="exact"/>
              <w:jc w:val="center"/>
              <w:rPr>
                <w:szCs w:val="21"/>
              </w:rPr>
            </w:pPr>
            <w:r>
              <w:rPr>
                <w:szCs w:val="21"/>
              </w:rPr>
              <w:t>直流恒流源</w:t>
            </w:r>
          </w:p>
        </w:tc>
        <w:tc>
          <w:tcPr>
            <w:tcW w:w="4097" w:type="pct"/>
            <w:vAlign w:val="center"/>
          </w:tcPr>
          <w:p>
            <w:pPr>
              <w:spacing w:line="320" w:lineRule="exact"/>
              <w:rPr>
                <w:szCs w:val="21"/>
              </w:rPr>
            </w:pPr>
            <w:r>
              <w:rPr>
                <w:szCs w:val="21"/>
              </w:rPr>
              <w:t>▲要求采用柜装仪表，一体化设计；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rFonts w:hint="eastAsia"/>
                <w:szCs w:val="21"/>
              </w:rPr>
            </w:pPr>
            <w:r>
              <w:rPr>
                <w:bCs/>
                <w:szCs w:val="21"/>
              </w:rPr>
              <w:t>输出：高精度可控恒压恒流输出0～200mA</w:t>
            </w: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szCs w:val="21"/>
              </w:rPr>
            </w:pPr>
            <w:r>
              <w:rPr>
                <w:bCs/>
                <w:szCs w:val="21"/>
              </w:rPr>
              <w:t>显示：5位LED数码管显示，第一位显示功能码，后4位显示设定电流值；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szCs w:val="21"/>
              </w:rPr>
            </w:pPr>
            <w:r>
              <w:rPr>
                <w:bCs/>
                <w:szCs w:val="21"/>
              </w:rPr>
              <w:t>电流4位显示，最小分辨率</w:t>
            </w:r>
            <w:r>
              <w:rPr>
                <w:rFonts w:hint="eastAsia"/>
                <w:bCs/>
                <w:szCs w:val="21"/>
              </w:rPr>
              <w:t>不大于</w:t>
            </w:r>
            <w:r>
              <w:rPr>
                <w:bCs/>
                <w:szCs w:val="21"/>
              </w:rPr>
              <w:t>0.1mA；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szCs w:val="21"/>
              </w:rPr>
            </w:pPr>
            <w:r>
              <w:rPr>
                <w:bCs/>
                <w:szCs w:val="21"/>
              </w:rPr>
              <w:t>通过按键设定输出电流；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szCs w:val="21"/>
              </w:rPr>
            </w:pPr>
            <w:r>
              <w:rPr>
                <w:szCs w:val="21"/>
              </w:rPr>
              <w:t>▲</w:t>
            </w:r>
            <w:r>
              <w:rPr>
                <w:bCs/>
                <w:szCs w:val="21"/>
              </w:rPr>
              <w:t>要求仪表自动监测负载电流，具有输出开路、过载保护功能。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restart"/>
            <w:vAlign w:val="center"/>
          </w:tcPr>
          <w:p>
            <w:pPr>
              <w:spacing w:line="320" w:lineRule="exact"/>
              <w:jc w:val="center"/>
              <w:rPr>
                <w:szCs w:val="21"/>
              </w:rPr>
            </w:pPr>
            <w:r>
              <w:rPr>
                <w:szCs w:val="21"/>
              </w:rPr>
              <w:t>5</w:t>
            </w:r>
          </w:p>
        </w:tc>
        <w:tc>
          <w:tcPr>
            <w:tcW w:w="491" w:type="pct"/>
            <w:vMerge w:val="restart"/>
            <w:vAlign w:val="center"/>
          </w:tcPr>
          <w:p>
            <w:pPr>
              <w:spacing w:line="320" w:lineRule="exact"/>
              <w:jc w:val="center"/>
              <w:rPr>
                <w:szCs w:val="21"/>
              </w:rPr>
            </w:pPr>
            <w:r>
              <w:rPr>
                <w:szCs w:val="21"/>
              </w:rPr>
              <w:t>智能交流数字电压表</w:t>
            </w:r>
          </w:p>
        </w:tc>
        <w:tc>
          <w:tcPr>
            <w:tcW w:w="4097" w:type="pct"/>
            <w:vAlign w:val="center"/>
          </w:tcPr>
          <w:p>
            <w:pPr>
              <w:spacing w:line="320" w:lineRule="exact"/>
              <w:rPr>
                <w:bCs/>
                <w:szCs w:val="21"/>
              </w:rPr>
            </w:pPr>
            <w:r>
              <w:rPr>
                <w:bCs/>
                <w:szCs w:val="21"/>
              </w:rPr>
              <w:t>数量：一只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rFonts w:hint="eastAsia"/>
                <w:bCs/>
                <w:szCs w:val="21"/>
              </w:rPr>
            </w:pPr>
            <w:r>
              <w:rPr>
                <w:szCs w:val="21"/>
              </w:rPr>
              <w:t>▲</w:t>
            </w:r>
            <w:r>
              <w:rPr>
                <w:bCs/>
                <w:szCs w:val="21"/>
              </w:rPr>
              <w:t>要求采用柜装仪表，一体化设计</w:t>
            </w: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bCs/>
                <w:szCs w:val="21"/>
              </w:rPr>
            </w:pPr>
            <w:r>
              <w:rPr>
                <w:bCs/>
                <w:szCs w:val="21"/>
              </w:rPr>
              <w:t>测量范围0～500V，测量精度0.5级，带宽50Hz；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bCs/>
                <w:szCs w:val="21"/>
              </w:rPr>
            </w:pPr>
            <w:r>
              <w:rPr>
                <w:bCs/>
                <w:szCs w:val="21"/>
              </w:rPr>
              <w:t>5位LED（≥0.56"）显示，设有7个LED工作状态指示灯，指示档位、工作模式、报警状态</w:t>
            </w: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bCs/>
                <w:szCs w:val="21"/>
              </w:rPr>
            </w:pPr>
            <w:r>
              <w:rPr>
                <w:szCs w:val="21"/>
              </w:rPr>
              <w:t>▲</w:t>
            </w:r>
            <w:r>
              <w:rPr>
                <w:bCs/>
                <w:szCs w:val="21"/>
              </w:rPr>
              <w:t>具有“自动”和“手动”换挡测量两种工作模式，“手动”模式时分2V、20V、200V、500V四档；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bCs/>
                <w:szCs w:val="21"/>
              </w:rPr>
            </w:pPr>
            <w:r>
              <w:rPr>
                <w:szCs w:val="21"/>
              </w:rPr>
              <w:t>▲</w:t>
            </w:r>
            <w:r>
              <w:rPr>
                <w:bCs/>
                <w:szCs w:val="21"/>
              </w:rPr>
              <w:t>每档均有超量程告警、指示及切断总电源功能；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bCs/>
                <w:szCs w:val="21"/>
              </w:rPr>
            </w:pPr>
            <w:r>
              <w:rPr>
                <w:bCs/>
                <w:szCs w:val="21"/>
              </w:rPr>
              <w:t>采用AC220V/50Hz（±10％）电源供电；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bCs/>
                <w:szCs w:val="21"/>
              </w:rPr>
            </w:pPr>
            <w:r>
              <w:rPr>
                <w:szCs w:val="21"/>
              </w:rPr>
              <w:t>▲</w:t>
            </w:r>
            <w:r>
              <w:rPr>
                <w:bCs/>
                <w:szCs w:val="21"/>
              </w:rPr>
              <w:t>可扩展RS-485通信接口，柜装方便维修更换。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restart"/>
            <w:vAlign w:val="center"/>
          </w:tcPr>
          <w:p>
            <w:pPr>
              <w:spacing w:line="320" w:lineRule="exact"/>
              <w:jc w:val="center"/>
              <w:rPr>
                <w:szCs w:val="21"/>
              </w:rPr>
            </w:pPr>
            <w:r>
              <w:rPr>
                <w:szCs w:val="21"/>
              </w:rPr>
              <w:t>6</w:t>
            </w:r>
          </w:p>
        </w:tc>
        <w:tc>
          <w:tcPr>
            <w:tcW w:w="491" w:type="pct"/>
            <w:vMerge w:val="restart"/>
            <w:vAlign w:val="center"/>
          </w:tcPr>
          <w:p>
            <w:pPr>
              <w:spacing w:line="320" w:lineRule="exact"/>
              <w:jc w:val="center"/>
              <w:rPr>
                <w:szCs w:val="21"/>
              </w:rPr>
            </w:pPr>
            <w:r>
              <w:rPr>
                <w:szCs w:val="21"/>
              </w:rPr>
              <w:t>智能交流数字电流表</w:t>
            </w:r>
          </w:p>
        </w:tc>
        <w:tc>
          <w:tcPr>
            <w:tcW w:w="4097" w:type="pct"/>
            <w:vAlign w:val="center"/>
          </w:tcPr>
          <w:p>
            <w:pPr>
              <w:spacing w:line="320" w:lineRule="exact"/>
              <w:rPr>
                <w:bCs/>
                <w:szCs w:val="21"/>
              </w:rPr>
            </w:pPr>
            <w:r>
              <w:rPr>
                <w:bCs/>
                <w:szCs w:val="21"/>
              </w:rPr>
              <w:t>数量：一只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bCs/>
                <w:szCs w:val="21"/>
              </w:rPr>
            </w:pPr>
            <w:r>
              <w:rPr>
                <w:szCs w:val="21"/>
              </w:rPr>
              <w:t>▲</w:t>
            </w:r>
            <w:r>
              <w:rPr>
                <w:bCs/>
                <w:szCs w:val="21"/>
              </w:rPr>
              <w:t>要求采用柜装仪表，一体化设计;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bCs/>
                <w:szCs w:val="21"/>
              </w:rPr>
            </w:pPr>
            <w:r>
              <w:rPr>
                <w:bCs/>
                <w:szCs w:val="21"/>
              </w:rPr>
              <w:t>测量范围0～5A，测量精度 0.5级，带宽50Hz；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bCs/>
                <w:szCs w:val="21"/>
              </w:rPr>
            </w:pPr>
            <w:r>
              <w:rPr>
                <w:bCs/>
                <w:szCs w:val="21"/>
              </w:rPr>
              <w:t>5位LED（≥0.56"）显示，设有7个LED工作状态指示灯，指示档位、工作模式、报警状态等；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bCs/>
                <w:szCs w:val="21"/>
              </w:rPr>
            </w:pPr>
            <w:r>
              <w:rPr>
                <w:bCs/>
                <w:szCs w:val="21"/>
              </w:rPr>
              <w:t>具有“自动”和“手动”换挡测量两种工作模式，“手动”模式时分20mA、200mA、2A、5A四档；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bCs/>
                <w:szCs w:val="21"/>
              </w:rPr>
            </w:pPr>
            <w:r>
              <w:rPr>
                <w:bCs/>
                <w:szCs w:val="21"/>
              </w:rPr>
              <w:t>每档均有超量程告警、指示及切断总电源功能；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bCs/>
                <w:szCs w:val="21"/>
              </w:rPr>
            </w:pPr>
            <w:r>
              <w:rPr>
                <w:bCs/>
                <w:szCs w:val="21"/>
              </w:rPr>
              <w:t>采用AC220V/50Hz（±10％）电源供电；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bCs/>
                <w:szCs w:val="21"/>
              </w:rPr>
            </w:pPr>
            <w:r>
              <w:rPr>
                <w:szCs w:val="21"/>
              </w:rPr>
              <w:t>▲</w:t>
            </w:r>
            <w:r>
              <w:rPr>
                <w:bCs/>
                <w:szCs w:val="21"/>
              </w:rPr>
              <w:t>可扩展RS-485通信接口，柜装方便维修更换。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restart"/>
            <w:vAlign w:val="center"/>
          </w:tcPr>
          <w:p>
            <w:pPr>
              <w:spacing w:line="320" w:lineRule="exact"/>
              <w:jc w:val="center"/>
              <w:rPr>
                <w:szCs w:val="21"/>
              </w:rPr>
            </w:pPr>
            <w:r>
              <w:rPr>
                <w:szCs w:val="21"/>
              </w:rPr>
              <w:t>7</w:t>
            </w:r>
          </w:p>
        </w:tc>
        <w:tc>
          <w:tcPr>
            <w:tcW w:w="491" w:type="pct"/>
            <w:vMerge w:val="restart"/>
            <w:vAlign w:val="center"/>
          </w:tcPr>
          <w:p>
            <w:pPr>
              <w:spacing w:line="320" w:lineRule="exact"/>
              <w:jc w:val="center"/>
              <w:rPr>
                <w:szCs w:val="21"/>
              </w:rPr>
            </w:pPr>
            <w:r>
              <w:rPr>
                <w:szCs w:val="21"/>
              </w:rPr>
              <w:t>智能交流数显功率表</w:t>
            </w:r>
          </w:p>
        </w:tc>
        <w:tc>
          <w:tcPr>
            <w:tcW w:w="4097" w:type="pct"/>
            <w:vAlign w:val="center"/>
          </w:tcPr>
          <w:p>
            <w:pPr>
              <w:spacing w:line="320" w:lineRule="exact"/>
              <w:rPr>
                <w:szCs w:val="21"/>
              </w:rPr>
            </w:pPr>
            <w:r>
              <w:rPr>
                <w:bCs/>
                <w:szCs w:val="21"/>
              </w:rPr>
              <w:t>数量：两只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szCs w:val="21"/>
              </w:rPr>
            </w:pPr>
            <w:r>
              <w:rPr>
                <w:bCs/>
                <w:szCs w:val="21"/>
              </w:rPr>
              <w:t>测量范围0～450V、0～5A，测量精度 0.5级，带宽50Hz；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szCs w:val="21"/>
              </w:rPr>
            </w:pPr>
            <w:r>
              <w:rPr>
                <w:szCs w:val="21"/>
              </w:rPr>
              <w:t>5位LED（≥0.56"）显示；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szCs w:val="21"/>
              </w:rPr>
            </w:pPr>
            <w:r>
              <w:rPr>
                <w:szCs w:val="21"/>
              </w:rPr>
              <w:t>要求能够测量负载的有功功率、无功功率、功率因数及负载的性质等；要求能够切换显示电压、电流、有功功率、无功功率、功率因数、频率等；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szCs w:val="21"/>
              </w:rPr>
            </w:pPr>
            <w:r>
              <w:rPr>
                <w:szCs w:val="21"/>
              </w:rPr>
              <w:t>要求具备测量精准、稳定性高、抗干扰强的优越性能。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restart"/>
            <w:vAlign w:val="center"/>
          </w:tcPr>
          <w:p>
            <w:pPr>
              <w:spacing w:line="320" w:lineRule="exact"/>
              <w:jc w:val="center"/>
              <w:rPr>
                <w:szCs w:val="21"/>
              </w:rPr>
            </w:pPr>
            <w:r>
              <w:rPr>
                <w:szCs w:val="21"/>
              </w:rPr>
              <w:t>8</w:t>
            </w:r>
          </w:p>
        </w:tc>
        <w:tc>
          <w:tcPr>
            <w:tcW w:w="491" w:type="pct"/>
            <w:vMerge w:val="restart"/>
            <w:vAlign w:val="center"/>
          </w:tcPr>
          <w:p>
            <w:pPr>
              <w:spacing w:line="320" w:lineRule="exact"/>
              <w:jc w:val="center"/>
              <w:rPr>
                <w:szCs w:val="21"/>
              </w:rPr>
            </w:pPr>
            <w:r>
              <w:rPr>
                <w:szCs w:val="21"/>
              </w:rPr>
              <w:t>任意波信号发生器</w:t>
            </w:r>
          </w:p>
        </w:tc>
        <w:tc>
          <w:tcPr>
            <w:tcW w:w="4097" w:type="pct"/>
            <w:vAlign w:val="center"/>
          </w:tcPr>
          <w:p>
            <w:pPr>
              <w:spacing w:line="320" w:lineRule="exact"/>
              <w:rPr>
                <w:szCs w:val="21"/>
              </w:rPr>
            </w:pPr>
            <w:r>
              <w:rPr>
                <w:szCs w:val="21"/>
              </w:rPr>
              <w:t>▲要求采用一体化设计，包含双通道任意波信号发生器、频率计、同步信号输出三种功能。操作面板要求采用铝质面板工艺，与实验台整体面板工艺色调一致；信号的输入输出接口均采用标准BNC、弱电护套座和2号防转座三种模式，可与设备快速连接。要求与投标产品同一品牌，投标时提供应产品说明书及模块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szCs w:val="21"/>
              </w:rPr>
            </w:pPr>
            <w:r>
              <w:rPr>
                <w:szCs w:val="21"/>
              </w:rPr>
              <w:t>▲采用</w:t>
            </w:r>
            <w:r>
              <w:rPr>
                <w:bCs/>
                <w:szCs w:val="21"/>
              </w:rPr>
              <w:t>≥</w:t>
            </w:r>
            <w:r>
              <w:rPr>
                <w:szCs w:val="21"/>
              </w:rPr>
              <w:t>4.3英寸超大高清的TFT LCD液晶彩显（需支持中英文界面）；可通过USB接口与上位机通信，提供功能强大的任意波编辑软件；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szCs w:val="21"/>
              </w:rPr>
            </w:pPr>
            <w:r>
              <w:rPr>
                <w:szCs w:val="21"/>
              </w:rPr>
              <w:t>要求提供双通道波形输出，输出正弦波、方波、脉冲波、斜波、噪声、直流六种标准波形及任意波（内置任意波形不小于50种）；正弦波输出频率为1μHz～15MHz，方波和三角波输出频率为1μHz～5MHz；两路输出幅度峰峰值均为0～20VP-P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szCs w:val="21"/>
              </w:rPr>
            </w:pPr>
            <w:r>
              <w:rPr>
                <w:szCs w:val="21"/>
              </w:rPr>
              <w:t>频率计：内置6位等精度显示，0.1Hz～100MHz的频率计。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szCs w:val="21"/>
              </w:rPr>
            </w:pPr>
            <w:r>
              <w:rPr>
                <w:szCs w:val="21"/>
              </w:rPr>
              <w:t>要有同步信号输出和扫频输出功能。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Align w:val="center"/>
          </w:tcPr>
          <w:p>
            <w:pPr>
              <w:spacing w:line="320" w:lineRule="exact"/>
              <w:jc w:val="center"/>
              <w:rPr>
                <w:szCs w:val="21"/>
              </w:rPr>
            </w:pPr>
            <w:r>
              <w:rPr>
                <w:szCs w:val="21"/>
              </w:rPr>
              <w:t>9</w:t>
            </w:r>
          </w:p>
        </w:tc>
        <w:tc>
          <w:tcPr>
            <w:tcW w:w="491" w:type="pct"/>
            <w:vAlign w:val="center"/>
          </w:tcPr>
          <w:p>
            <w:pPr>
              <w:spacing w:line="320" w:lineRule="exact"/>
              <w:jc w:val="center"/>
              <w:rPr>
                <w:szCs w:val="21"/>
              </w:rPr>
            </w:pPr>
            <w:r>
              <w:rPr>
                <w:szCs w:val="21"/>
              </w:rPr>
              <w:t>实验台终端管理器</w:t>
            </w:r>
          </w:p>
        </w:tc>
        <w:tc>
          <w:tcPr>
            <w:tcW w:w="4097" w:type="pct"/>
            <w:vAlign w:val="center"/>
          </w:tcPr>
          <w:p>
            <w:pPr>
              <w:spacing w:line="320" w:lineRule="exact"/>
              <w:rPr>
                <w:szCs w:val="21"/>
              </w:rPr>
            </w:pPr>
            <w:r>
              <w:rPr>
                <w:szCs w:val="21"/>
              </w:rPr>
              <w:t>管理器要求采用高性能可编程微处理器STM32，自带WiFi模块，与服务器可双向数据交换，具有电源管理、定时功能、报警、切断电源等功能。要求具有人机互动界面，记录、显示设备状态信息，通过编码开关切换功能，并显示功能信息。同步显示上位机发送的状态。管理器具有向服务器上传告警次数、误操作类型、学生使用信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restart"/>
            <w:vAlign w:val="center"/>
          </w:tcPr>
          <w:p>
            <w:pPr>
              <w:spacing w:line="320" w:lineRule="exact"/>
              <w:jc w:val="center"/>
              <w:rPr>
                <w:szCs w:val="21"/>
              </w:rPr>
            </w:pPr>
            <w:r>
              <w:rPr>
                <w:rFonts w:hint="eastAsia"/>
                <w:szCs w:val="21"/>
              </w:rPr>
              <w:t>1</w:t>
            </w:r>
            <w:r>
              <w:rPr>
                <w:szCs w:val="21"/>
              </w:rPr>
              <w:t>0</w:t>
            </w:r>
          </w:p>
        </w:tc>
        <w:tc>
          <w:tcPr>
            <w:tcW w:w="491" w:type="pct"/>
            <w:vMerge w:val="restart"/>
            <w:vAlign w:val="center"/>
          </w:tcPr>
          <w:p>
            <w:pPr>
              <w:spacing w:line="320" w:lineRule="exact"/>
              <w:jc w:val="center"/>
              <w:rPr>
                <w:szCs w:val="21"/>
              </w:rPr>
            </w:pPr>
            <w:r>
              <w:rPr>
                <w:rFonts w:hint="eastAsia"/>
                <w:szCs w:val="21"/>
              </w:rPr>
              <w:t>智能设备管理系统（</w:t>
            </w:r>
            <w:r>
              <w:rPr>
                <w:szCs w:val="21"/>
              </w:rPr>
              <w:t>1</w:t>
            </w:r>
            <w:r>
              <w:rPr>
                <w:rFonts w:hint="eastAsia"/>
                <w:szCs w:val="21"/>
              </w:rPr>
              <w:t>套</w:t>
            </w:r>
            <w:r>
              <w:rPr>
                <w:szCs w:val="21"/>
              </w:rPr>
              <w:t>/</w:t>
            </w:r>
            <w:r>
              <w:rPr>
                <w:rFonts w:hint="eastAsia"/>
                <w:szCs w:val="21"/>
              </w:rPr>
              <w:t>批）</w:t>
            </w:r>
          </w:p>
        </w:tc>
        <w:tc>
          <w:tcPr>
            <w:tcW w:w="4097" w:type="pct"/>
            <w:vAlign w:val="center"/>
          </w:tcPr>
          <w:p>
            <w:pPr>
              <w:spacing w:line="320" w:lineRule="exact"/>
              <w:rPr>
                <w:szCs w:val="21"/>
              </w:rPr>
            </w:pPr>
            <w:r>
              <w:rPr>
                <w:szCs w:val="21"/>
              </w:rPr>
              <w:t>管控软件应包含多个页面、多个菜单（电源管理、报警状态、I/O控制、设备管理、通道管理、查看日志等），每一个菜单下又包含次级菜单。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szCs w:val="21"/>
              </w:rPr>
            </w:pPr>
            <w:r>
              <w:rPr>
                <w:szCs w:val="21"/>
              </w:rPr>
              <w:t>通过管控软件对学生机进行无线远程控制；在学生机上，教师可以通过密码设置对学生机进行本地控制；当某一学生机发生故障禁止启动时，可以在教师系统管理软件上设置，避免误操作时打开对应设备电源，造成意外事故的发生；能够单台、全部定时设备开、关机；能够记录设备报警状态和报警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szCs w:val="21"/>
              </w:rPr>
            </w:pPr>
            <w:r>
              <w:rPr>
                <w:szCs w:val="21"/>
              </w:rPr>
              <w:t>为保证实验室管理的统一性，配备手持无线管理器，尺寸不小于9.6寸的彩色中文触控屏，软件可更根据添加设备数量的多少，自动调节设备的显示比例，可在软件界面上实时监控到设备的开、关状态、运行时间。可通过手持移动终端系统监控、查询学生实验台的电源开关状态；单独授权开启或关闭学生实验台电源；全部授权开启或全部关闭实验台电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b/>
                <w:bCs/>
                <w:color w:val="FF0000"/>
                <w:szCs w:val="21"/>
              </w:rPr>
            </w:pPr>
            <w:r>
              <w:rPr>
                <w:b/>
                <w:bCs/>
                <w:color w:val="FF0000"/>
                <w:szCs w:val="21"/>
              </w:rPr>
              <w:t>要求</w:t>
            </w:r>
            <w:r>
              <w:rPr>
                <w:rFonts w:hint="eastAsia"/>
                <w:b/>
                <w:bCs/>
                <w:color w:val="FF0000"/>
                <w:szCs w:val="21"/>
              </w:rPr>
              <w:t>提供该功能的演示视频</w:t>
            </w:r>
            <w:r>
              <w:rPr>
                <w:b/>
                <w:bCs/>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szCs w:val="21"/>
              </w:rPr>
            </w:pPr>
            <w:r>
              <w:rPr>
                <w:color w:val="000000" w:themeColor="text1"/>
                <w:szCs w:val="21"/>
                <w14:textFill>
                  <w14:solidFill>
                    <w14:schemeClr w14:val="tx1"/>
                  </w14:solidFill>
                </w14:textFill>
              </w:rPr>
              <w:t>为保护软件知识产权和后期维护升级，要求提供软件著作权证书扫描件并加盖生产商公章。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restart"/>
            <w:vAlign w:val="center"/>
          </w:tcPr>
          <w:p>
            <w:pPr>
              <w:spacing w:line="320" w:lineRule="exact"/>
              <w:jc w:val="center"/>
              <w:rPr>
                <w:szCs w:val="21"/>
              </w:rPr>
            </w:pPr>
            <w:r>
              <w:rPr>
                <w:szCs w:val="21"/>
              </w:rPr>
              <w:t>11</w:t>
            </w:r>
          </w:p>
        </w:tc>
        <w:tc>
          <w:tcPr>
            <w:tcW w:w="491" w:type="pct"/>
            <w:vMerge w:val="restart"/>
            <w:vAlign w:val="center"/>
          </w:tcPr>
          <w:p>
            <w:pPr>
              <w:spacing w:line="320" w:lineRule="exact"/>
              <w:jc w:val="center"/>
              <w:rPr>
                <w:szCs w:val="21"/>
              </w:rPr>
            </w:pPr>
            <w:r>
              <w:rPr>
                <w:szCs w:val="21"/>
              </w:rPr>
              <w:t>数字化立体教材软件平台（1套/批）</w:t>
            </w:r>
          </w:p>
        </w:tc>
        <w:tc>
          <w:tcPr>
            <w:tcW w:w="4097" w:type="pct"/>
            <w:vAlign w:val="center"/>
          </w:tcPr>
          <w:p>
            <w:pPr>
              <w:spacing w:line="320" w:lineRule="exact"/>
              <w:rPr>
                <w:szCs w:val="21"/>
              </w:rPr>
            </w:pPr>
            <w:r>
              <w:rPr>
                <w:szCs w:val="21"/>
              </w:rPr>
              <w:t>平台基于云端的开放性平台，支持离线在线访问，可与学校数字化校园网互联互通，可无缝进行数据互传，可开放连接校园网网络接口，通过账号及密码可访问该资源，后台资源实时更新，支持手机端微信扫码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szCs w:val="21"/>
              </w:rPr>
            </w:pPr>
            <w:r>
              <w:rPr>
                <w:szCs w:val="21"/>
              </w:rPr>
              <w:t>平台发布资源具有3D效果，支持文档搜索、复制、放大、缩小、打印、文档处理等功能；资源至少集成文档、视频、动画仿真、教学资源等四项文件。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szCs w:val="21"/>
              </w:rPr>
            </w:pPr>
            <w:r>
              <w:rPr>
                <w:szCs w:val="21"/>
              </w:rPr>
              <w:t>平台支持制作微课工具，具有视频录制、局部放大录制，视频处理合成，字幕编辑、讲解批注，支持音频合成等功能与一体，微课发布在软件平台。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szCs w:val="21"/>
              </w:rPr>
            </w:pPr>
            <w:r>
              <w:rPr>
                <w:szCs w:val="21"/>
              </w:rPr>
              <w:t>平台集成设备服务系统，可完成查看设备信息包含技术配置、使用说明，质检报告等，可完成设备远程保修及技术支持，通过文字描述、图片等寻求厂家技术服务；支持查看服务进度，支持评价及投诉。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szCs w:val="21"/>
              </w:rPr>
            </w:pPr>
            <w:r>
              <w:rPr>
                <w:szCs w:val="21"/>
              </w:rPr>
              <w:t>集成与设备配套的实验指导书，包含实验目的、实验原理、操作步骤、实验报告与分析等，应具有3D翻书效果，并有搜索、复制、放大、缩小、打印等功能；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szCs w:val="21"/>
              </w:rPr>
            </w:pPr>
            <w:r>
              <w:rPr>
                <w:szCs w:val="21"/>
              </w:rPr>
              <w:t>集成《电工电子技术基础》国家级规划教材，具有3D翻书效果，并有搜索、复制、放大、缩小、打印等功能；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szCs w:val="21"/>
              </w:rPr>
            </w:pPr>
            <w:r>
              <w:rPr>
                <w:szCs w:val="21"/>
              </w:rPr>
              <w:t>集成数字和指针万用表应用训练仿真软件；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szCs w:val="21"/>
              </w:rPr>
            </w:pPr>
            <w:r>
              <w:rPr>
                <w:szCs w:val="21"/>
              </w:rPr>
              <w:t xml:space="preserve">可访问调用“安全教育仿真软件”；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szCs w:val="21"/>
              </w:rPr>
            </w:pPr>
            <w:r>
              <w:rPr>
                <w:szCs w:val="21"/>
              </w:rPr>
              <w:t>可访问调用“电子电路仿真软件”；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szCs w:val="21"/>
              </w:rPr>
            </w:pPr>
            <w:r>
              <w:rPr>
                <w:szCs w:val="21"/>
              </w:rPr>
              <w:t>可访问调用“电工技能训练仿真软件”；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b/>
                <w:bCs/>
                <w:color w:val="FF0000"/>
                <w:szCs w:val="21"/>
              </w:rPr>
            </w:pPr>
            <w:r>
              <w:rPr>
                <w:color w:val="000000" w:themeColor="text1"/>
                <w:szCs w:val="21"/>
                <w14:textFill>
                  <w14:solidFill>
                    <w14:schemeClr w14:val="tx1"/>
                  </w14:solidFill>
                </w14:textFill>
              </w:rPr>
              <w:t>要求由一个统一的目录链接访问，方便管理。</w:t>
            </w:r>
            <w:r>
              <w:rPr>
                <w:b/>
                <w:bCs/>
                <w:color w:val="FF0000"/>
                <w:szCs w:val="21"/>
              </w:rPr>
              <w:t>投标现场提供PC版、APP版、网页版功能演示视频，</w:t>
            </w:r>
            <w:r>
              <w:rPr>
                <w:color w:val="000000" w:themeColor="text1"/>
                <w:szCs w:val="21"/>
                <w14:textFill>
                  <w14:solidFill>
                    <w14:schemeClr w14:val="tx1"/>
                  </w14:solidFill>
                </w14:textFill>
              </w:rPr>
              <w:t>存放在U盘当中，单独递交，演示结果需满足功能要求。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szCs w:val="21"/>
              </w:rPr>
            </w:pPr>
            <w:r>
              <w:rPr>
                <w:color w:val="000000" w:themeColor="text1"/>
                <w:szCs w:val="21"/>
                <w14:textFill>
                  <w14:solidFill>
                    <w14:schemeClr w14:val="tx1"/>
                  </w14:solidFill>
                </w14:textFill>
              </w:rPr>
              <w:t>为保护软件知识产权和后期维护升级，要求提供软件著作权证书扫描件并加盖生产商公章，标注所在投标文件中页码。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12" w:type="pct"/>
            <w:vMerge w:val="restart"/>
            <w:vAlign w:val="center"/>
          </w:tcPr>
          <w:p>
            <w:pPr>
              <w:spacing w:line="320" w:lineRule="exact"/>
              <w:jc w:val="center"/>
              <w:rPr>
                <w:szCs w:val="21"/>
              </w:rPr>
            </w:pPr>
            <w:r>
              <w:rPr>
                <w:szCs w:val="21"/>
              </w:rPr>
              <w:t>12</w:t>
            </w:r>
          </w:p>
        </w:tc>
        <w:tc>
          <w:tcPr>
            <w:tcW w:w="491" w:type="pct"/>
            <w:vMerge w:val="restart"/>
            <w:vAlign w:val="center"/>
          </w:tcPr>
          <w:p>
            <w:pPr>
              <w:shd w:val="clear" w:color="auto" w:fill="FFFFFF"/>
              <w:spacing w:line="320" w:lineRule="exact"/>
              <w:jc w:val="center"/>
              <w:rPr>
                <w:szCs w:val="21"/>
              </w:rPr>
            </w:pPr>
            <w:r>
              <w:rPr>
                <w:szCs w:val="21"/>
              </w:rPr>
              <w:t>互联网+安全监测系统（1套/批）</w:t>
            </w:r>
          </w:p>
          <w:p>
            <w:pPr>
              <w:spacing w:line="320" w:lineRule="exact"/>
              <w:jc w:val="center"/>
              <w:rPr>
                <w:szCs w:val="21"/>
              </w:rPr>
            </w:pPr>
          </w:p>
        </w:tc>
        <w:tc>
          <w:tcPr>
            <w:tcW w:w="4097" w:type="pct"/>
            <w:vAlign w:val="center"/>
          </w:tcPr>
          <w:p>
            <w:pPr>
              <w:spacing w:line="320" w:lineRule="exact"/>
              <w:rPr>
                <w:szCs w:val="21"/>
              </w:rPr>
            </w:pPr>
            <w:r>
              <w:rPr>
                <w:szCs w:val="21"/>
              </w:rPr>
              <w:t>进线柜：具有过温、短路、过流、过压、欠压、失压、功率限定7大保护功能；电源具有一键锁定功能；电源具有故障锁定功能，只能通过远程清除故障后，才能上电成功；能通过无线WIFI和有线以太网与手机APP（支持安卓和苹果）和PC端云平台通讯。整个实验室配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szCs w:val="21"/>
              </w:rPr>
            </w:pPr>
            <w:r>
              <w:rPr>
                <w:szCs w:val="21"/>
              </w:rPr>
              <w:t>进线柜采用7寸彩色触摸屏为人机交互界面，实时监控设备运行情况，提供WIFI、485等多种通信模式，具备语音播报功能。要能实时监测三相电压、电流、功率，功率因数、频率、电能等参数，液晶触摸屏监测数值。能监控实验室电源的故障类型和故障次数；设备时间管理包含年月日时间的显示；界面可自行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szCs w:val="21"/>
              </w:rPr>
            </w:pPr>
            <w:r>
              <w:rPr>
                <w:szCs w:val="21"/>
              </w:rPr>
              <w:t>移动端软件：用电状态界面实时显示当前电压、电流、有无功功率、电能、设备温度、漏电电流值等；用电数据界面能智能查找近2年用电数据，设置界面能设置限定电能值、负载值、设备超温值、过欠压值、过欠压恢复时间值等。后台查看报警日志、操作日志、故障日志等。PC端软件：具有多个子界面，具有故障分析，用电能效分析、集中管理、个人中心资料管理、用户报警定位跟踪与信息统计、一键全屏投影等功能；具有管理员信息修改与权限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szCs w:val="21"/>
              </w:rPr>
            </w:pPr>
            <w:r>
              <w:rPr>
                <w:b/>
                <w:bCs/>
                <w:color w:val="FF0000"/>
                <w:szCs w:val="21"/>
              </w:rPr>
              <w:t>要求</w:t>
            </w:r>
            <w:r>
              <w:rPr>
                <w:rFonts w:hint="eastAsia"/>
                <w:b/>
                <w:bCs/>
                <w:color w:val="FF0000"/>
                <w:szCs w:val="21"/>
              </w:rPr>
              <w:t>提供该功能的演示视频</w:t>
            </w:r>
            <w:r>
              <w:rPr>
                <w:b/>
                <w:bCs/>
                <w:color w:val="FF0000"/>
                <w:szCs w:val="21"/>
              </w:rPr>
              <w:t>。</w:t>
            </w:r>
            <w:r>
              <w:rPr>
                <w:color w:val="000000" w:themeColor="text1"/>
                <w:szCs w:val="21"/>
                <w14:textFill>
                  <w14:solidFill>
                    <w14:schemeClr w14:val="tx1"/>
                  </w14:solidFill>
                </w14:textFill>
              </w:rPr>
              <w:t>并提供移动端软件和PC端软件功能的相关截图（要求所有功能和界面都能体现）。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szCs w:val="21"/>
              </w:rPr>
            </w:pPr>
            <w:r>
              <w:rPr>
                <w:szCs w:val="21"/>
              </w:rPr>
              <w:t>为保护软件知识产权和后期维护升级，要求提供软件著作权证书扫描件并加盖生产商公章。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412" w:type="pct"/>
            <w:vMerge w:val="restart"/>
            <w:vAlign w:val="center"/>
          </w:tcPr>
          <w:p>
            <w:pPr>
              <w:spacing w:line="320" w:lineRule="exact"/>
              <w:jc w:val="center"/>
              <w:rPr>
                <w:szCs w:val="21"/>
              </w:rPr>
            </w:pPr>
            <w:r>
              <w:rPr>
                <w:szCs w:val="21"/>
              </w:rPr>
              <w:t>13</w:t>
            </w:r>
          </w:p>
        </w:tc>
        <w:tc>
          <w:tcPr>
            <w:tcW w:w="491" w:type="pct"/>
            <w:vMerge w:val="restart"/>
            <w:vAlign w:val="center"/>
          </w:tcPr>
          <w:p>
            <w:pPr>
              <w:spacing w:line="320" w:lineRule="exact"/>
              <w:jc w:val="center"/>
              <w:rPr>
                <w:szCs w:val="21"/>
              </w:rPr>
            </w:pPr>
            <w:r>
              <w:rPr>
                <w:szCs w:val="21"/>
              </w:rPr>
              <w:t>互联网+设备运维系统</w:t>
            </w:r>
          </w:p>
        </w:tc>
        <w:tc>
          <w:tcPr>
            <w:tcW w:w="4097" w:type="pct"/>
            <w:vAlign w:val="center"/>
          </w:tcPr>
          <w:p>
            <w:pPr>
              <w:spacing w:line="320" w:lineRule="exact"/>
              <w:rPr>
                <w:szCs w:val="21"/>
              </w:rPr>
            </w:pPr>
            <w:r>
              <w:rPr>
                <w:szCs w:val="21"/>
              </w:rPr>
              <w:t>该平台是一个全流程客户服务管理平台，通过端到端的管理和数字化运营，打破了传统的电话报修、电话跟踪和电话回访等耗时繁琐的工作流程，该平台操作和使用简单、方便、快捷，让服务更加高效、过程更加透明、客户更加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szCs w:val="21"/>
              </w:rPr>
            </w:pPr>
            <w:r>
              <w:rPr>
                <w:szCs w:val="21"/>
              </w:rPr>
              <w:t>服务端分为PC机和手机APP两个版本，管理人员使用PC版，服务人员主要使用手机APP。设备信息包括产品型号、名称、出厂日期、过保日期、出厂报告、厂商联系方式、设备装箱单、实验指导书等等，并且根据老师需求来添加需要显示的项目；手机扫描后就可以快速提交服务需求，能够通过文字、现场照片和视频精准描述设备故障，并且能自动显示设备所在位置；客户端发送服务情况后，服务端就会收到提醒信息，并且生成服务工单，工单指派给相应服务人员后，系统将自动发送服务短信给保修客户，让客户及时了解服务人员信息和预计到达时间；服务过程跟踪管理，系统自动发送的服务短信内容包括服务人员姓名、联系方式、工单进度链接，客户可以通过链接了解服务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szCs w:val="21"/>
              </w:rPr>
            </w:pPr>
            <w:r>
              <w:rPr>
                <w:szCs w:val="21"/>
              </w:rPr>
              <w:t>服务完成后，客户可以在服务人员手机上签字确认本次服务，同时系统自动发送服务短信给客户，告知客户本次服务已经完成，还可以通过回访短信的方式对本次服务进行评价留言，也可以通过链接对本次服务进行评价留言，可以通过链接查服务报告，服务报告可以存储到网盘、微信、邮箱等能够存取信息的应用当中，方便客户保存和后期查阅</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szCs w:val="21"/>
              </w:rPr>
            </w:pPr>
            <w:r>
              <w:rPr>
                <w:szCs w:val="21"/>
              </w:rPr>
              <w:t>该平台采用阿里云存储，设备信息和客户每次的服务需求都将永久存储，只需要用手机扫描就可以快速便捷的查看。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color w:val="FF0000"/>
                <w:szCs w:val="21"/>
              </w:rPr>
            </w:pPr>
            <w:r>
              <w:rPr>
                <w:b/>
                <w:bCs/>
                <w:color w:val="FF0000"/>
                <w:szCs w:val="21"/>
              </w:rPr>
              <w:t>要求</w:t>
            </w:r>
            <w:r>
              <w:rPr>
                <w:rFonts w:hint="eastAsia"/>
                <w:b/>
                <w:bCs/>
                <w:color w:val="FF0000"/>
                <w:szCs w:val="21"/>
              </w:rPr>
              <w:t>提供该功能的演示视频</w:t>
            </w:r>
            <w:r>
              <w:rPr>
                <w:b/>
                <w:bCs/>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color w:val="FF0000"/>
                <w:szCs w:val="21"/>
              </w:rPr>
            </w:pPr>
            <w:r>
              <w:rPr>
                <w:color w:val="000000" w:themeColor="text1"/>
                <w:szCs w:val="21"/>
                <w14:textFill>
                  <w14:solidFill>
                    <w14:schemeClr w14:val="tx1"/>
                  </w14:solidFill>
                </w14:textFill>
              </w:rPr>
              <w:t>为保护软件知识产权和后期维护升级，要求提供软件著作权证书扫描件并加盖生产商公章。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412" w:type="pct"/>
            <w:vMerge w:val="restart"/>
            <w:vAlign w:val="center"/>
          </w:tcPr>
          <w:p>
            <w:pPr>
              <w:spacing w:line="320" w:lineRule="exact"/>
              <w:jc w:val="center"/>
              <w:rPr>
                <w:szCs w:val="21"/>
              </w:rPr>
            </w:pPr>
            <w:r>
              <w:rPr>
                <w:szCs w:val="21"/>
              </w:rPr>
              <w:t>14</w:t>
            </w:r>
          </w:p>
        </w:tc>
        <w:tc>
          <w:tcPr>
            <w:tcW w:w="491" w:type="pct"/>
            <w:vMerge w:val="restart"/>
            <w:vAlign w:val="center"/>
          </w:tcPr>
          <w:p>
            <w:pPr>
              <w:spacing w:line="320" w:lineRule="exact"/>
              <w:jc w:val="center"/>
              <w:rPr>
                <w:szCs w:val="21"/>
              </w:rPr>
            </w:pPr>
            <w:r>
              <w:rPr>
                <w:szCs w:val="21"/>
              </w:rPr>
              <w:t>互联网+实验报告管理系统（1套/批）</w:t>
            </w:r>
          </w:p>
        </w:tc>
        <w:tc>
          <w:tcPr>
            <w:tcW w:w="4097" w:type="pct"/>
            <w:vAlign w:val="center"/>
          </w:tcPr>
          <w:p>
            <w:pPr>
              <w:spacing w:line="320" w:lineRule="exact"/>
              <w:rPr>
                <w:szCs w:val="21"/>
              </w:rPr>
            </w:pPr>
            <w:r>
              <w:rPr>
                <w:szCs w:val="21"/>
              </w:rPr>
              <w:t>要求系统采用主软辅硬结合方式，包含数据采集系统和AI智能云平台管理软件。实验报告的无纸化、高效化、智能化（智能识别报告信息处理等）、结构化（结构化管理实验报告，方便查找、阅览、分享等）提供了有效保障，也为学校的数字信息化建设与发展提供一部分支持。整个实验室配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szCs w:val="21"/>
              </w:rPr>
            </w:pPr>
            <w:r>
              <w:rPr>
                <w:szCs w:val="21"/>
              </w:rPr>
              <w:t>数据采集系统进行实验报告的图像采集；通过高清拍照摄像、图像识别及处理、后台数据库、WEB等技术进行融合，系统集成了人脸识别、指纹识别、身份证核验、磁条卡、接触式IC卡、图形采集等功能。实现文档扫描、复印机功能、传真机功能、视频通讯、OCR文字识别等强大功能，实现将学生数字化实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szCs w:val="21"/>
              </w:rPr>
            </w:pPr>
            <w:r>
              <w:rPr>
                <w:szCs w:val="21"/>
              </w:rPr>
              <w:t>AI智能云平台管理软件处理部分通过人工智能深度学习算法进行图像的处理，识别出提交报告信息数据，并自动填入学生姓名，学号，班级，科目等信息，无需人工输入。系统软件部分软件服务器系统可提供局域网或广域网（外网）布设，局域网布设，可在学校高速访问，可通过外网在全国或世界任意地点访问，便捷多地点办公。用户界面采用统一WEB界面，电脑、平板、手机等等智能设备都可访问，实现了多设备跨平台应用。在线查看阅览学生上传报告信息内容，批注等信息，学生信息根据班级、学号、年级等信息排列显示，也可单独通过搜索关键字阅览，可增加优秀报告标记或分享他人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412" w:type="pct"/>
            <w:vMerge w:val="continue"/>
            <w:vAlign w:val="center"/>
          </w:tcPr>
          <w:p>
            <w:pPr>
              <w:spacing w:line="320" w:lineRule="exact"/>
              <w:jc w:val="center"/>
              <w:rPr>
                <w:szCs w:val="21"/>
              </w:rPr>
            </w:pPr>
          </w:p>
        </w:tc>
        <w:tc>
          <w:tcPr>
            <w:tcW w:w="491" w:type="pct"/>
            <w:vMerge w:val="continue"/>
            <w:vAlign w:val="center"/>
          </w:tcPr>
          <w:p>
            <w:pPr>
              <w:spacing w:line="320" w:lineRule="exact"/>
              <w:jc w:val="center"/>
              <w:rPr>
                <w:szCs w:val="21"/>
              </w:rPr>
            </w:pPr>
          </w:p>
        </w:tc>
        <w:tc>
          <w:tcPr>
            <w:tcW w:w="4097" w:type="pct"/>
            <w:vAlign w:val="center"/>
          </w:tcPr>
          <w:p>
            <w:pPr>
              <w:spacing w:line="320" w:lineRule="exact"/>
              <w:rPr>
                <w:szCs w:val="21"/>
              </w:rPr>
            </w:pPr>
            <w:r>
              <w:rPr>
                <w:b/>
                <w:bCs/>
                <w:color w:val="FF0000"/>
                <w:szCs w:val="21"/>
              </w:rPr>
              <w:t>要求</w:t>
            </w:r>
            <w:r>
              <w:rPr>
                <w:rFonts w:hint="eastAsia"/>
                <w:b/>
                <w:bCs/>
                <w:color w:val="FF0000"/>
                <w:szCs w:val="21"/>
              </w:rPr>
              <w:t>提供该功能的演示视频</w:t>
            </w:r>
            <w:r>
              <w:rPr>
                <w:b/>
                <w:bCs/>
                <w:color w:val="FF0000"/>
                <w:szCs w:val="21"/>
              </w:rPr>
              <w:t>。</w:t>
            </w:r>
            <w:r>
              <w:rPr>
                <w:color w:val="000000" w:themeColor="text1"/>
                <w:szCs w:val="21"/>
                <w14:textFill>
                  <w14:solidFill>
                    <w14:schemeClr w14:val="tx1"/>
                  </w14:solidFill>
                </w14:textFill>
              </w:rPr>
              <w:t>为保护软件知识产权和后期维护升级，要求提供软件著作权证书影印件并加盖公章。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412" w:type="pct"/>
            <w:vAlign w:val="center"/>
          </w:tcPr>
          <w:p>
            <w:pPr>
              <w:spacing w:line="320" w:lineRule="exact"/>
              <w:jc w:val="center"/>
              <w:rPr>
                <w:szCs w:val="21"/>
              </w:rPr>
            </w:pPr>
            <w:r>
              <w:rPr>
                <w:szCs w:val="21"/>
              </w:rPr>
              <w:t>15</w:t>
            </w:r>
          </w:p>
        </w:tc>
        <w:tc>
          <w:tcPr>
            <w:tcW w:w="491" w:type="pct"/>
            <w:vAlign w:val="center"/>
          </w:tcPr>
          <w:p>
            <w:pPr>
              <w:spacing w:line="320" w:lineRule="exact"/>
              <w:jc w:val="center"/>
              <w:rPr>
                <w:szCs w:val="21"/>
              </w:rPr>
            </w:pPr>
            <w:r>
              <w:rPr>
                <w:szCs w:val="21"/>
                <w:lang w:val="zh-CN"/>
              </w:rPr>
              <w:t>实验桌</w:t>
            </w:r>
          </w:p>
        </w:tc>
        <w:tc>
          <w:tcPr>
            <w:tcW w:w="4097" w:type="pct"/>
            <w:vAlign w:val="center"/>
          </w:tcPr>
          <w:p>
            <w:pPr>
              <w:spacing w:line="320" w:lineRule="exact"/>
              <w:rPr>
                <w:szCs w:val="21"/>
              </w:rPr>
            </w:pPr>
            <w:r>
              <w:rPr>
                <w:szCs w:val="21"/>
              </w:rPr>
              <w:t>实验桌要求为铁质双层亚光密纹喷塑结构，桌面为防火、防水、耐磨高密度板；左右设有两个大抽屉（带锁），分别用于放置工具及资料。下方设有存储吊柜（对开四扇门），内部分层≥3层结构，每层设有三节导轨，能够自由拉出，用于放置各种实验模块。还设有四个带刹车的万向轮子，便于移动和固定。</w:t>
            </w:r>
          </w:p>
        </w:tc>
      </w:tr>
    </w:tbl>
    <w:p>
      <w:pPr>
        <w:outlineLvl w:val="2"/>
        <w:rPr>
          <w:rFonts w:cs="宋体" w:asciiTheme="minorEastAsia" w:hAnsiTheme="minorEastAsia" w:eastAsiaTheme="minorEastAsia"/>
          <w:b/>
          <w:sz w:val="28"/>
          <w:szCs w:val="28"/>
        </w:rPr>
      </w:pPr>
    </w:p>
    <w:p>
      <w:pPr>
        <w:outlineLvl w:val="2"/>
        <w:rPr>
          <w:rFonts w:asciiTheme="minorEastAsia" w:hAnsiTheme="minorEastAsia" w:eastAsiaTheme="minorEastAsia"/>
          <w:b/>
          <w:bCs/>
          <w:sz w:val="24"/>
        </w:rPr>
      </w:pPr>
      <w:r>
        <w:rPr>
          <w:rFonts w:hint="eastAsia" w:cs="宋体" w:asciiTheme="minorEastAsia" w:hAnsiTheme="minorEastAsia" w:eastAsiaTheme="minorEastAsia"/>
          <w:b/>
          <w:bCs/>
          <w:sz w:val="24"/>
        </w:rPr>
        <w:t>（二）电路实验单元模块</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837"/>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pPr>
              <w:jc w:val="center"/>
              <w:rPr>
                <w:b/>
                <w:bCs/>
                <w:szCs w:val="21"/>
              </w:rPr>
            </w:pPr>
            <w:r>
              <w:rPr>
                <w:b/>
                <w:bCs/>
                <w:szCs w:val="21"/>
              </w:rPr>
              <w:t>序号</w:t>
            </w:r>
          </w:p>
        </w:tc>
        <w:tc>
          <w:tcPr>
            <w:tcW w:w="491" w:type="pct"/>
            <w:vAlign w:val="center"/>
          </w:tcPr>
          <w:p>
            <w:pPr>
              <w:jc w:val="center"/>
              <w:rPr>
                <w:b/>
                <w:bCs/>
                <w:szCs w:val="21"/>
              </w:rPr>
            </w:pPr>
            <w:r>
              <w:rPr>
                <w:b/>
                <w:bCs/>
                <w:szCs w:val="21"/>
              </w:rPr>
              <w:t>名称</w:t>
            </w:r>
          </w:p>
        </w:tc>
        <w:tc>
          <w:tcPr>
            <w:tcW w:w="4097" w:type="pct"/>
            <w:vAlign w:val="center"/>
          </w:tcPr>
          <w:p>
            <w:pPr>
              <w:jc w:val="center"/>
              <w:rPr>
                <w:b/>
                <w:bCs/>
                <w:szCs w:val="21"/>
              </w:rPr>
            </w:pPr>
            <w:r>
              <w:rPr>
                <w:b/>
                <w:bCs/>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12" w:type="pct"/>
            <w:vMerge w:val="restart"/>
            <w:vAlign w:val="center"/>
          </w:tcPr>
          <w:p>
            <w:pPr>
              <w:jc w:val="center"/>
              <w:rPr>
                <w:szCs w:val="21"/>
              </w:rPr>
            </w:pPr>
            <w:r>
              <w:rPr>
                <w:szCs w:val="21"/>
              </w:rPr>
              <w:t>1</w:t>
            </w:r>
          </w:p>
        </w:tc>
        <w:tc>
          <w:tcPr>
            <w:tcW w:w="491" w:type="pct"/>
            <w:vMerge w:val="restart"/>
            <w:vAlign w:val="center"/>
          </w:tcPr>
          <w:p>
            <w:pPr>
              <w:jc w:val="center"/>
              <w:rPr>
                <w:szCs w:val="21"/>
              </w:rPr>
            </w:pPr>
            <w:r>
              <w:rPr>
                <w:szCs w:val="21"/>
              </w:rPr>
              <w:t>技术性能要求</w:t>
            </w:r>
          </w:p>
        </w:tc>
        <w:tc>
          <w:tcPr>
            <w:tcW w:w="4097" w:type="pct"/>
            <w:vAlign w:val="center"/>
          </w:tcPr>
          <w:p>
            <w:pPr>
              <w:jc w:val="left"/>
              <w:rPr>
                <w:szCs w:val="21"/>
              </w:rPr>
            </w:pPr>
            <w:r>
              <w:rPr>
                <w:szCs w:val="21"/>
              </w:rPr>
              <w:t>电路实验模块要求使用者能够观察到内部元件形状和接线方式，便于教师讲解和学生认识；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12" w:type="pct"/>
            <w:vMerge w:val="continue"/>
            <w:vAlign w:val="center"/>
          </w:tcPr>
          <w:p>
            <w:pPr>
              <w:jc w:val="center"/>
              <w:rPr>
                <w:szCs w:val="21"/>
              </w:rPr>
            </w:pPr>
          </w:p>
        </w:tc>
        <w:tc>
          <w:tcPr>
            <w:tcW w:w="491" w:type="pct"/>
            <w:vMerge w:val="continue"/>
            <w:vAlign w:val="center"/>
          </w:tcPr>
          <w:p>
            <w:pPr>
              <w:jc w:val="center"/>
              <w:rPr>
                <w:szCs w:val="21"/>
              </w:rPr>
            </w:pPr>
          </w:p>
        </w:tc>
        <w:tc>
          <w:tcPr>
            <w:tcW w:w="4097" w:type="pct"/>
            <w:vAlign w:val="center"/>
          </w:tcPr>
          <w:p>
            <w:pPr>
              <w:jc w:val="left"/>
              <w:rPr>
                <w:szCs w:val="21"/>
              </w:rPr>
            </w:pPr>
            <w:r>
              <w:rPr>
                <w:szCs w:val="21"/>
              </w:rPr>
              <w:t>实验模块面板要求采用PCB板制作而成，表面清爽、符号线路清晰、表面耐磨损、元件更换容易；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12" w:type="pct"/>
            <w:vMerge w:val="continue"/>
            <w:vAlign w:val="center"/>
          </w:tcPr>
          <w:p>
            <w:pPr>
              <w:jc w:val="center"/>
              <w:rPr>
                <w:szCs w:val="21"/>
              </w:rPr>
            </w:pPr>
          </w:p>
        </w:tc>
        <w:tc>
          <w:tcPr>
            <w:tcW w:w="491" w:type="pct"/>
            <w:vMerge w:val="continue"/>
            <w:vAlign w:val="center"/>
          </w:tcPr>
          <w:p>
            <w:pPr>
              <w:jc w:val="center"/>
              <w:rPr>
                <w:szCs w:val="21"/>
              </w:rPr>
            </w:pPr>
          </w:p>
        </w:tc>
        <w:tc>
          <w:tcPr>
            <w:tcW w:w="4097" w:type="pct"/>
            <w:vAlign w:val="center"/>
          </w:tcPr>
          <w:p>
            <w:pPr>
              <w:jc w:val="left"/>
              <w:rPr>
                <w:szCs w:val="21"/>
              </w:rPr>
            </w:pPr>
            <w:r>
              <w:rPr>
                <w:szCs w:val="21"/>
              </w:rPr>
              <w:t>面板上标志的元件电路符号采用最新国家标准，具有整体结构紧凑、外形美观大方、安装简单、使用保管方便等特点。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412" w:type="pct"/>
            <w:vMerge w:val="continue"/>
            <w:vAlign w:val="center"/>
          </w:tcPr>
          <w:p>
            <w:pPr>
              <w:jc w:val="center"/>
              <w:rPr>
                <w:szCs w:val="21"/>
              </w:rPr>
            </w:pPr>
          </w:p>
        </w:tc>
        <w:tc>
          <w:tcPr>
            <w:tcW w:w="491" w:type="pct"/>
            <w:vMerge w:val="continue"/>
            <w:vAlign w:val="center"/>
          </w:tcPr>
          <w:p>
            <w:pPr>
              <w:jc w:val="center"/>
              <w:rPr>
                <w:szCs w:val="21"/>
              </w:rPr>
            </w:pPr>
          </w:p>
        </w:tc>
        <w:tc>
          <w:tcPr>
            <w:tcW w:w="4097" w:type="pct"/>
            <w:vAlign w:val="center"/>
          </w:tcPr>
          <w:p>
            <w:pPr>
              <w:jc w:val="left"/>
              <w:rPr>
                <w:szCs w:val="21"/>
              </w:rPr>
            </w:pPr>
            <w:r>
              <w:rPr>
                <w:szCs w:val="21"/>
              </w:rPr>
              <w:t xml:space="preserve">每个电路实验模块上器件要求采用接线柱引出，通过模块的四个弹性插脚可布局于专用实验操作底板上；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412" w:type="pct"/>
            <w:vAlign w:val="center"/>
          </w:tcPr>
          <w:p>
            <w:pPr>
              <w:jc w:val="center"/>
              <w:rPr>
                <w:szCs w:val="21"/>
              </w:rPr>
            </w:pPr>
            <w:r>
              <w:rPr>
                <w:szCs w:val="21"/>
              </w:rPr>
              <w:t>2</w:t>
            </w:r>
          </w:p>
        </w:tc>
        <w:tc>
          <w:tcPr>
            <w:tcW w:w="491" w:type="pct"/>
            <w:vAlign w:val="center"/>
          </w:tcPr>
          <w:p>
            <w:pPr>
              <w:jc w:val="center"/>
              <w:rPr>
                <w:szCs w:val="21"/>
              </w:rPr>
            </w:pPr>
            <w:r>
              <w:rPr>
                <w:szCs w:val="21"/>
              </w:rPr>
              <w:t>电路实验单元模块</w:t>
            </w:r>
          </w:p>
        </w:tc>
        <w:tc>
          <w:tcPr>
            <w:tcW w:w="4097" w:type="pct"/>
            <w:vAlign w:val="center"/>
          </w:tcPr>
          <w:p>
            <w:pPr>
              <w:jc w:val="left"/>
              <w:rPr>
                <w:szCs w:val="21"/>
              </w:rPr>
            </w:pPr>
            <w:r>
              <w:rPr>
                <w:szCs w:val="21"/>
              </w:rPr>
              <w:t>要求提供各种电阻器、CBB电容器、独立高压电容器（1μF/450V*3、2μF/450V、4μF/450V）、电位器、十进制电阻箱、二极管（1N4007）、钮子开关(2只)、启辉器、白炽灯泡(6只)、电流插座（6只）、变压器、电阻器扩展模块、电容器扩展模块等实验模块。</w:t>
            </w:r>
            <w:r>
              <w:rPr>
                <w:b/>
                <w:bCs/>
                <w:szCs w:val="21"/>
              </w:rPr>
              <w:t>要求提供模块清单。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412" w:type="pct"/>
            <w:vAlign w:val="center"/>
          </w:tcPr>
          <w:p>
            <w:pPr>
              <w:jc w:val="center"/>
              <w:rPr>
                <w:szCs w:val="21"/>
              </w:rPr>
            </w:pPr>
            <w:r>
              <w:rPr>
                <w:szCs w:val="21"/>
              </w:rPr>
              <w:t>3</w:t>
            </w:r>
          </w:p>
        </w:tc>
        <w:tc>
          <w:tcPr>
            <w:tcW w:w="491" w:type="pct"/>
            <w:vAlign w:val="center"/>
          </w:tcPr>
          <w:p>
            <w:pPr>
              <w:jc w:val="center"/>
              <w:rPr>
                <w:szCs w:val="21"/>
              </w:rPr>
            </w:pPr>
            <w:r>
              <w:rPr>
                <w:szCs w:val="21"/>
              </w:rPr>
              <w:t>实验底板</w:t>
            </w:r>
          </w:p>
        </w:tc>
        <w:tc>
          <w:tcPr>
            <w:tcW w:w="4097" w:type="pct"/>
            <w:vAlign w:val="center"/>
          </w:tcPr>
          <w:p>
            <w:pPr>
              <w:jc w:val="left"/>
              <w:rPr>
                <w:szCs w:val="21"/>
              </w:rPr>
            </w:pPr>
            <w:r>
              <w:rPr>
                <w:szCs w:val="21"/>
              </w:rPr>
              <w:t xml:space="preserve">要求采用白色亚克力板材质，底板上以13×13阵列规格均匀分布多个圆孔，厚度≥10mm。要求即可平放在桌面上，也可挂到实验台上。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pPr>
              <w:jc w:val="center"/>
              <w:rPr>
                <w:szCs w:val="21"/>
              </w:rPr>
            </w:pPr>
            <w:r>
              <w:rPr>
                <w:szCs w:val="21"/>
              </w:rPr>
              <w:t>4</w:t>
            </w:r>
          </w:p>
        </w:tc>
        <w:tc>
          <w:tcPr>
            <w:tcW w:w="491" w:type="pct"/>
            <w:vAlign w:val="center"/>
          </w:tcPr>
          <w:p>
            <w:pPr>
              <w:jc w:val="center"/>
              <w:rPr>
                <w:szCs w:val="21"/>
              </w:rPr>
            </w:pPr>
            <w:r>
              <w:rPr>
                <w:szCs w:val="21"/>
              </w:rPr>
              <w:t>铁芯变压器与互感器模块</w:t>
            </w:r>
          </w:p>
        </w:tc>
        <w:tc>
          <w:tcPr>
            <w:tcW w:w="4097" w:type="pct"/>
            <w:vAlign w:val="center"/>
          </w:tcPr>
          <w:p>
            <w:pPr>
              <w:jc w:val="left"/>
              <w:rPr>
                <w:szCs w:val="21"/>
              </w:rPr>
            </w:pPr>
            <w:r>
              <w:rPr>
                <w:szCs w:val="21"/>
              </w:rPr>
              <w:t>提供铁芯变压器（50VA、36V/220V）一只（要求带保护电路）、互感线圈一组。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pPr>
              <w:jc w:val="center"/>
              <w:rPr>
                <w:szCs w:val="21"/>
              </w:rPr>
            </w:pPr>
            <w:r>
              <w:rPr>
                <w:szCs w:val="21"/>
              </w:rPr>
              <w:t>5</w:t>
            </w:r>
          </w:p>
        </w:tc>
        <w:tc>
          <w:tcPr>
            <w:tcW w:w="491" w:type="pct"/>
            <w:vAlign w:val="center"/>
          </w:tcPr>
          <w:p>
            <w:pPr>
              <w:jc w:val="center"/>
              <w:rPr>
                <w:szCs w:val="21"/>
              </w:rPr>
            </w:pPr>
            <w:r>
              <w:rPr>
                <w:szCs w:val="21"/>
              </w:rPr>
              <w:t>配件</w:t>
            </w:r>
          </w:p>
        </w:tc>
        <w:tc>
          <w:tcPr>
            <w:tcW w:w="4097" w:type="pct"/>
            <w:vAlign w:val="center"/>
          </w:tcPr>
          <w:p>
            <w:pPr>
              <w:jc w:val="left"/>
              <w:rPr>
                <w:szCs w:val="21"/>
              </w:rPr>
            </w:pPr>
            <w:r>
              <w:rPr>
                <w:szCs w:val="21"/>
              </w:rPr>
              <w:t>提供与实验模块相匹配的实验指导书和实验元器件等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Merge w:val="restart"/>
            <w:vAlign w:val="center"/>
          </w:tcPr>
          <w:p>
            <w:pPr>
              <w:spacing w:line="240" w:lineRule="exact"/>
              <w:jc w:val="center"/>
              <w:rPr>
                <w:szCs w:val="21"/>
              </w:rPr>
            </w:pPr>
            <w:r>
              <w:rPr>
                <w:szCs w:val="21"/>
              </w:rPr>
              <w:t>6</w:t>
            </w:r>
          </w:p>
        </w:tc>
        <w:tc>
          <w:tcPr>
            <w:tcW w:w="491" w:type="pct"/>
            <w:vMerge w:val="restart"/>
            <w:vAlign w:val="center"/>
          </w:tcPr>
          <w:p>
            <w:pPr>
              <w:spacing w:line="240" w:lineRule="exact"/>
              <w:jc w:val="center"/>
              <w:rPr>
                <w:szCs w:val="21"/>
              </w:rPr>
            </w:pPr>
            <w:r>
              <w:rPr>
                <w:szCs w:val="21"/>
              </w:rPr>
              <w:t>应完成的实验项目</w:t>
            </w:r>
          </w:p>
        </w:tc>
        <w:tc>
          <w:tcPr>
            <w:tcW w:w="4097" w:type="pct"/>
            <w:vAlign w:val="center"/>
          </w:tcPr>
          <w:p>
            <w:pPr>
              <w:spacing w:line="240" w:lineRule="exact"/>
              <w:jc w:val="left"/>
              <w:rPr>
                <w:szCs w:val="21"/>
              </w:rPr>
            </w:pPr>
            <w:r>
              <w:rPr>
                <w:szCs w:val="21"/>
              </w:rPr>
              <w:t>根据以上电路实验单元模块，要求能完成以下实验项目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Merge w:val="continue"/>
            <w:vAlign w:val="center"/>
          </w:tcPr>
          <w:p>
            <w:pPr>
              <w:spacing w:line="240" w:lineRule="exact"/>
              <w:jc w:val="center"/>
              <w:rPr>
                <w:szCs w:val="21"/>
              </w:rPr>
            </w:pPr>
          </w:p>
        </w:tc>
        <w:tc>
          <w:tcPr>
            <w:tcW w:w="491" w:type="pct"/>
            <w:vMerge w:val="continue"/>
            <w:vAlign w:val="center"/>
          </w:tcPr>
          <w:p>
            <w:pPr>
              <w:spacing w:line="240" w:lineRule="exact"/>
              <w:jc w:val="center"/>
              <w:rPr>
                <w:szCs w:val="21"/>
              </w:rPr>
            </w:pPr>
          </w:p>
        </w:tc>
        <w:tc>
          <w:tcPr>
            <w:tcW w:w="4097" w:type="pct"/>
            <w:vAlign w:val="center"/>
          </w:tcPr>
          <w:p>
            <w:pPr>
              <w:spacing w:line="240" w:lineRule="exact"/>
              <w:jc w:val="left"/>
              <w:rPr>
                <w:szCs w:val="21"/>
              </w:rPr>
            </w:pPr>
            <w:r>
              <w:rPr>
                <w:szCs w:val="21"/>
              </w:rPr>
              <w:t>叠加原理的验证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Merge w:val="continue"/>
            <w:vAlign w:val="center"/>
          </w:tcPr>
          <w:p>
            <w:pPr>
              <w:spacing w:line="240" w:lineRule="exact"/>
              <w:jc w:val="center"/>
              <w:rPr>
                <w:szCs w:val="21"/>
              </w:rPr>
            </w:pPr>
          </w:p>
        </w:tc>
        <w:tc>
          <w:tcPr>
            <w:tcW w:w="491" w:type="pct"/>
            <w:vMerge w:val="continue"/>
            <w:vAlign w:val="center"/>
          </w:tcPr>
          <w:p>
            <w:pPr>
              <w:spacing w:line="240" w:lineRule="exact"/>
              <w:jc w:val="center"/>
              <w:rPr>
                <w:szCs w:val="21"/>
              </w:rPr>
            </w:pPr>
          </w:p>
        </w:tc>
        <w:tc>
          <w:tcPr>
            <w:tcW w:w="4097" w:type="pct"/>
            <w:vAlign w:val="center"/>
          </w:tcPr>
          <w:p>
            <w:pPr>
              <w:spacing w:line="240" w:lineRule="exact"/>
              <w:jc w:val="left"/>
              <w:rPr>
                <w:szCs w:val="21"/>
              </w:rPr>
            </w:pPr>
            <w:r>
              <w:rPr>
                <w:szCs w:val="21"/>
              </w:rPr>
              <w:t>基尔霍夫定律的验证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Merge w:val="continue"/>
            <w:vAlign w:val="center"/>
          </w:tcPr>
          <w:p>
            <w:pPr>
              <w:spacing w:line="240" w:lineRule="exact"/>
              <w:jc w:val="center"/>
              <w:rPr>
                <w:szCs w:val="21"/>
              </w:rPr>
            </w:pPr>
          </w:p>
        </w:tc>
        <w:tc>
          <w:tcPr>
            <w:tcW w:w="491" w:type="pct"/>
            <w:vMerge w:val="continue"/>
            <w:vAlign w:val="center"/>
          </w:tcPr>
          <w:p>
            <w:pPr>
              <w:spacing w:line="240" w:lineRule="exact"/>
              <w:jc w:val="center"/>
              <w:rPr>
                <w:szCs w:val="21"/>
              </w:rPr>
            </w:pPr>
          </w:p>
        </w:tc>
        <w:tc>
          <w:tcPr>
            <w:tcW w:w="4097" w:type="pct"/>
            <w:vAlign w:val="center"/>
          </w:tcPr>
          <w:p>
            <w:pPr>
              <w:spacing w:line="240" w:lineRule="exact"/>
              <w:jc w:val="left"/>
              <w:rPr>
                <w:szCs w:val="21"/>
              </w:rPr>
            </w:pPr>
            <w:r>
              <w:rPr>
                <w:szCs w:val="21"/>
              </w:rPr>
              <w:t>戴维南定理的验证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Merge w:val="continue"/>
            <w:vAlign w:val="center"/>
          </w:tcPr>
          <w:p>
            <w:pPr>
              <w:spacing w:line="240" w:lineRule="exact"/>
              <w:jc w:val="center"/>
              <w:rPr>
                <w:szCs w:val="21"/>
              </w:rPr>
            </w:pPr>
          </w:p>
        </w:tc>
        <w:tc>
          <w:tcPr>
            <w:tcW w:w="491" w:type="pct"/>
            <w:vMerge w:val="continue"/>
            <w:vAlign w:val="center"/>
          </w:tcPr>
          <w:p>
            <w:pPr>
              <w:spacing w:line="240" w:lineRule="exact"/>
              <w:jc w:val="center"/>
              <w:rPr>
                <w:szCs w:val="21"/>
              </w:rPr>
            </w:pPr>
          </w:p>
        </w:tc>
        <w:tc>
          <w:tcPr>
            <w:tcW w:w="4097" w:type="pct"/>
            <w:vAlign w:val="center"/>
          </w:tcPr>
          <w:p>
            <w:pPr>
              <w:spacing w:line="240" w:lineRule="exact"/>
              <w:jc w:val="left"/>
              <w:rPr>
                <w:szCs w:val="21"/>
              </w:rPr>
            </w:pPr>
            <w:r>
              <w:rPr>
                <w:szCs w:val="21"/>
              </w:rPr>
              <w:t>二端口网络测试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Merge w:val="continue"/>
            <w:vAlign w:val="center"/>
          </w:tcPr>
          <w:p>
            <w:pPr>
              <w:spacing w:line="240" w:lineRule="exact"/>
              <w:jc w:val="center"/>
              <w:rPr>
                <w:szCs w:val="21"/>
              </w:rPr>
            </w:pPr>
          </w:p>
        </w:tc>
        <w:tc>
          <w:tcPr>
            <w:tcW w:w="491" w:type="pct"/>
            <w:vMerge w:val="continue"/>
            <w:vAlign w:val="center"/>
          </w:tcPr>
          <w:p>
            <w:pPr>
              <w:spacing w:line="240" w:lineRule="exact"/>
              <w:jc w:val="center"/>
              <w:rPr>
                <w:szCs w:val="21"/>
              </w:rPr>
            </w:pPr>
          </w:p>
        </w:tc>
        <w:tc>
          <w:tcPr>
            <w:tcW w:w="4097" w:type="pct"/>
            <w:vAlign w:val="center"/>
          </w:tcPr>
          <w:p>
            <w:pPr>
              <w:spacing w:line="240" w:lineRule="exact"/>
              <w:jc w:val="left"/>
              <w:rPr>
                <w:szCs w:val="21"/>
              </w:rPr>
            </w:pPr>
            <w:r>
              <w:rPr>
                <w:szCs w:val="21"/>
              </w:rPr>
              <w:t>磁滞回线的观测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Merge w:val="continue"/>
            <w:vAlign w:val="center"/>
          </w:tcPr>
          <w:p>
            <w:pPr>
              <w:spacing w:line="240" w:lineRule="exact"/>
              <w:jc w:val="center"/>
              <w:rPr>
                <w:szCs w:val="21"/>
              </w:rPr>
            </w:pPr>
          </w:p>
        </w:tc>
        <w:tc>
          <w:tcPr>
            <w:tcW w:w="491" w:type="pct"/>
            <w:vMerge w:val="continue"/>
            <w:vAlign w:val="center"/>
          </w:tcPr>
          <w:p>
            <w:pPr>
              <w:spacing w:line="240" w:lineRule="exact"/>
              <w:jc w:val="center"/>
              <w:rPr>
                <w:szCs w:val="21"/>
              </w:rPr>
            </w:pPr>
          </w:p>
        </w:tc>
        <w:tc>
          <w:tcPr>
            <w:tcW w:w="4097" w:type="pct"/>
            <w:vAlign w:val="center"/>
          </w:tcPr>
          <w:p>
            <w:pPr>
              <w:spacing w:line="240" w:lineRule="exact"/>
              <w:jc w:val="left"/>
              <w:rPr>
                <w:szCs w:val="21"/>
              </w:rPr>
            </w:pPr>
            <w:r>
              <w:rPr>
                <w:szCs w:val="21"/>
              </w:rPr>
              <w:t>R、C一阶电路的响应测试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Merge w:val="continue"/>
            <w:vAlign w:val="center"/>
          </w:tcPr>
          <w:p>
            <w:pPr>
              <w:spacing w:line="240" w:lineRule="exact"/>
              <w:jc w:val="center"/>
              <w:rPr>
                <w:szCs w:val="21"/>
              </w:rPr>
            </w:pPr>
          </w:p>
        </w:tc>
        <w:tc>
          <w:tcPr>
            <w:tcW w:w="491" w:type="pct"/>
            <w:vMerge w:val="continue"/>
            <w:vAlign w:val="center"/>
          </w:tcPr>
          <w:p>
            <w:pPr>
              <w:spacing w:line="240" w:lineRule="exact"/>
              <w:jc w:val="center"/>
              <w:rPr>
                <w:szCs w:val="21"/>
              </w:rPr>
            </w:pPr>
          </w:p>
        </w:tc>
        <w:tc>
          <w:tcPr>
            <w:tcW w:w="4097" w:type="pct"/>
            <w:vAlign w:val="center"/>
          </w:tcPr>
          <w:p>
            <w:pPr>
              <w:spacing w:line="240" w:lineRule="exact"/>
              <w:jc w:val="left"/>
              <w:rPr>
                <w:szCs w:val="21"/>
              </w:rPr>
            </w:pPr>
            <w:r>
              <w:rPr>
                <w:szCs w:val="21"/>
              </w:rPr>
              <w:t>用三表法测量交流电路的等效参数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Merge w:val="continue"/>
            <w:vAlign w:val="center"/>
          </w:tcPr>
          <w:p>
            <w:pPr>
              <w:spacing w:line="240" w:lineRule="exact"/>
              <w:jc w:val="center"/>
              <w:rPr>
                <w:szCs w:val="21"/>
              </w:rPr>
            </w:pPr>
          </w:p>
        </w:tc>
        <w:tc>
          <w:tcPr>
            <w:tcW w:w="491" w:type="pct"/>
            <w:vMerge w:val="continue"/>
            <w:vAlign w:val="center"/>
          </w:tcPr>
          <w:p>
            <w:pPr>
              <w:spacing w:line="240" w:lineRule="exact"/>
              <w:jc w:val="center"/>
              <w:rPr>
                <w:szCs w:val="21"/>
              </w:rPr>
            </w:pPr>
          </w:p>
        </w:tc>
        <w:tc>
          <w:tcPr>
            <w:tcW w:w="4097" w:type="pct"/>
            <w:vAlign w:val="center"/>
          </w:tcPr>
          <w:p>
            <w:pPr>
              <w:spacing w:line="240" w:lineRule="exact"/>
              <w:jc w:val="left"/>
              <w:rPr>
                <w:szCs w:val="21"/>
              </w:rPr>
            </w:pPr>
            <w:r>
              <w:rPr>
                <w:szCs w:val="21"/>
              </w:rPr>
              <w:t>正弦稳态交流电路相量的研究——日光灯功率因数提高实验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Merge w:val="continue"/>
            <w:vAlign w:val="center"/>
          </w:tcPr>
          <w:p>
            <w:pPr>
              <w:spacing w:line="240" w:lineRule="exact"/>
              <w:jc w:val="center"/>
              <w:rPr>
                <w:szCs w:val="21"/>
              </w:rPr>
            </w:pPr>
          </w:p>
        </w:tc>
        <w:tc>
          <w:tcPr>
            <w:tcW w:w="491" w:type="pct"/>
            <w:vMerge w:val="continue"/>
            <w:vAlign w:val="center"/>
          </w:tcPr>
          <w:p>
            <w:pPr>
              <w:spacing w:line="240" w:lineRule="exact"/>
              <w:jc w:val="center"/>
              <w:rPr>
                <w:szCs w:val="21"/>
              </w:rPr>
            </w:pPr>
          </w:p>
        </w:tc>
        <w:tc>
          <w:tcPr>
            <w:tcW w:w="4097" w:type="pct"/>
            <w:vAlign w:val="center"/>
          </w:tcPr>
          <w:p>
            <w:pPr>
              <w:spacing w:line="240" w:lineRule="exact"/>
              <w:jc w:val="left"/>
              <w:rPr>
                <w:szCs w:val="21"/>
              </w:rPr>
            </w:pPr>
            <w:r>
              <w:rPr>
                <w:szCs w:val="21"/>
              </w:rPr>
              <w:t>单相铁芯变压器特性的测试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Merge w:val="continue"/>
            <w:vAlign w:val="center"/>
          </w:tcPr>
          <w:p>
            <w:pPr>
              <w:spacing w:line="240" w:lineRule="exact"/>
              <w:jc w:val="center"/>
              <w:rPr>
                <w:szCs w:val="21"/>
              </w:rPr>
            </w:pPr>
          </w:p>
        </w:tc>
        <w:tc>
          <w:tcPr>
            <w:tcW w:w="491" w:type="pct"/>
            <w:vMerge w:val="continue"/>
            <w:vAlign w:val="center"/>
          </w:tcPr>
          <w:p>
            <w:pPr>
              <w:spacing w:line="240" w:lineRule="exact"/>
              <w:jc w:val="center"/>
              <w:rPr>
                <w:szCs w:val="21"/>
              </w:rPr>
            </w:pPr>
          </w:p>
        </w:tc>
        <w:tc>
          <w:tcPr>
            <w:tcW w:w="4097" w:type="pct"/>
            <w:vAlign w:val="center"/>
          </w:tcPr>
          <w:p>
            <w:pPr>
              <w:spacing w:line="240" w:lineRule="exact"/>
              <w:jc w:val="left"/>
              <w:rPr>
                <w:szCs w:val="21"/>
              </w:rPr>
            </w:pPr>
            <w:r>
              <w:rPr>
                <w:szCs w:val="21"/>
              </w:rPr>
              <w:t>互感器实验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412" w:type="pct"/>
            <w:vMerge w:val="continue"/>
            <w:vAlign w:val="center"/>
          </w:tcPr>
          <w:p>
            <w:pPr>
              <w:spacing w:line="240" w:lineRule="exact"/>
              <w:jc w:val="center"/>
              <w:rPr>
                <w:szCs w:val="21"/>
              </w:rPr>
            </w:pPr>
          </w:p>
        </w:tc>
        <w:tc>
          <w:tcPr>
            <w:tcW w:w="491" w:type="pct"/>
            <w:vMerge w:val="continue"/>
            <w:vAlign w:val="center"/>
          </w:tcPr>
          <w:p>
            <w:pPr>
              <w:spacing w:line="240" w:lineRule="exact"/>
              <w:jc w:val="center"/>
              <w:rPr>
                <w:szCs w:val="21"/>
              </w:rPr>
            </w:pPr>
          </w:p>
        </w:tc>
        <w:tc>
          <w:tcPr>
            <w:tcW w:w="4097" w:type="pct"/>
            <w:vAlign w:val="center"/>
          </w:tcPr>
          <w:p>
            <w:pPr>
              <w:spacing w:line="240" w:lineRule="exact"/>
              <w:jc w:val="left"/>
              <w:rPr>
                <w:szCs w:val="21"/>
              </w:rPr>
            </w:pPr>
            <w:r>
              <w:rPr>
                <w:szCs w:val="21"/>
              </w:rPr>
              <w:t>三相交流电路电压、电流的测量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12" w:type="pct"/>
            <w:vMerge w:val="continue"/>
            <w:vAlign w:val="center"/>
          </w:tcPr>
          <w:p>
            <w:pPr>
              <w:spacing w:line="240" w:lineRule="exact"/>
              <w:jc w:val="center"/>
              <w:rPr>
                <w:szCs w:val="21"/>
              </w:rPr>
            </w:pPr>
          </w:p>
        </w:tc>
        <w:tc>
          <w:tcPr>
            <w:tcW w:w="491" w:type="pct"/>
            <w:vMerge w:val="continue"/>
            <w:vAlign w:val="center"/>
          </w:tcPr>
          <w:p>
            <w:pPr>
              <w:spacing w:line="240" w:lineRule="exact"/>
              <w:jc w:val="center"/>
              <w:rPr>
                <w:szCs w:val="21"/>
              </w:rPr>
            </w:pPr>
          </w:p>
        </w:tc>
        <w:tc>
          <w:tcPr>
            <w:tcW w:w="4097" w:type="pct"/>
            <w:vAlign w:val="center"/>
          </w:tcPr>
          <w:p>
            <w:pPr>
              <w:spacing w:line="240" w:lineRule="exact"/>
              <w:jc w:val="left"/>
              <w:rPr>
                <w:szCs w:val="21"/>
              </w:rPr>
            </w:pPr>
            <w:r>
              <w:rPr>
                <w:szCs w:val="21"/>
              </w:rPr>
              <w:t>三相电路功率的测量</w:t>
            </w:r>
          </w:p>
        </w:tc>
      </w:tr>
    </w:tbl>
    <w:p>
      <w:pPr>
        <w:ind w:firstLine="120" w:firstLineChars="50"/>
        <w:outlineLvl w:val="2"/>
        <w:rPr>
          <w:rFonts w:cs="宋体" w:asciiTheme="minorEastAsia" w:hAnsiTheme="minorEastAsia" w:eastAsiaTheme="minorEastAsia"/>
          <w:b/>
          <w:bCs/>
          <w:sz w:val="24"/>
        </w:rPr>
      </w:pPr>
    </w:p>
    <w:p>
      <w:pPr>
        <w:ind w:firstLine="120" w:firstLineChars="50"/>
        <w:outlineLvl w:val="2"/>
        <w:rPr>
          <w:rFonts w:asciiTheme="minorEastAsia" w:hAnsiTheme="minorEastAsia" w:eastAsiaTheme="minorEastAsia"/>
          <w:b/>
          <w:bCs/>
          <w:sz w:val="24"/>
        </w:rPr>
      </w:pPr>
      <w:r>
        <w:rPr>
          <w:rFonts w:hint="eastAsia" w:cs="宋体" w:asciiTheme="minorEastAsia" w:hAnsiTheme="minorEastAsia" w:eastAsiaTheme="minorEastAsia"/>
          <w:b/>
          <w:bCs/>
          <w:sz w:val="24"/>
        </w:rPr>
        <w:t>（三）电子实验单元模块</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837"/>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pPr>
              <w:jc w:val="center"/>
              <w:rPr>
                <w:b/>
                <w:bCs/>
                <w:szCs w:val="21"/>
              </w:rPr>
            </w:pPr>
            <w:r>
              <w:rPr>
                <w:b/>
                <w:bCs/>
                <w:szCs w:val="21"/>
              </w:rPr>
              <w:t>序号</w:t>
            </w:r>
          </w:p>
        </w:tc>
        <w:tc>
          <w:tcPr>
            <w:tcW w:w="491" w:type="pct"/>
            <w:vAlign w:val="center"/>
          </w:tcPr>
          <w:p>
            <w:pPr>
              <w:jc w:val="center"/>
              <w:rPr>
                <w:b/>
                <w:bCs/>
                <w:szCs w:val="21"/>
              </w:rPr>
            </w:pPr>
            <w:r>
              <w:rPr>
                <w:b/>
                <w:bCs/>
                <w:szCs w:val="21"/>
              </w:rPr>
              <w:t>名称</w:t>
            </w:r>
          </w:p>
        </w:tc>
        <w:tc>
          <w:tcPr>
            <w:tcW w:w="4097" w:type="pct"/>
            <w:vAlign w:val="center"/>
          </w:tcPr>
          <w:p>
            <w:pPr>
              <w:jc w:val="center"/>
              <w:rPr>
                <w:b/>
                <w:bCs/>
                <w:szCs w:val="21"/>
              </w:rPr>
            </w:pPr>
            <w:r>
              <w:rPr>
                <w:b/>
                <w:bCs/>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Merge w:val="restart"/>
            <w:vAlign w:val="center"/>
          </w:tcPr>
          <w:p>
            <w:pPr>
              <w:jc w:val="center"/>
              <w:rPr>
                <w:szCs w:val="21"/>
              </w:rPr>
            </w:pPr>
            <w:r>
              <w:rPr>
                <w:szCs w:val="21"/>
              </w:rPr>
              <w:t>1</w:t>
            </w:r>
          </w:p>
        </w:tc>
        <w:tc>
          <w:tcPr>
            <w:tcW w:w="491" w:type="pct"/>
            <w:vMerge w:val="restart"/>
            <w:vAlign w:val="center"/>
          </w:tcPr>
          <w:p>
            <w:pPr>
              <w:jc w:val="center"/>
              <w:rPr>
                <w:szCs w:val="21"/>
              </w:rPr>
            </w:pPr>
            <w:r>
              <w:rPr>
                <w:szCs w:val="21"/>
              </w:rPr>
              <w:t>技术性能要求</w:t>
            </w:r>
          </w:p>
        </w:tc>
        <w:tc>
          <w:tcPr>
            <w:tcW w:w="4097" w:type="pct"/>
            <w:vAlign w:val="center"/>
          </w:tcPr>
          <w:p>
            <w:pPr>
              <w:jc w:val="left"/>
              <w:rPr>
                <w:szCs w:val="21"/>
              </w:rPr>
            </w:pPr>
            <w:r>
              <w:rPr>
                <w:szCs w:val="21"/>
              </w:rPr>
              <w:t>实验模块要求使用者能够观察到内部元件形状和接线方式，便于教师讲解和学生认识；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Merge w:val="continue"/>
            <w:vAlign w:val="center"/>
          </w:tcPr>
          <w:p>
            <w:pPr>
              <w:jc w:val="center"/>
              <w:rPr>
                <w:szCs w:val="21"/>
              </w:rPr>
            </w:pPr>
          </w:p>
        </w:tc>
        <w:tc>
          <w:tcPr>
            <w:tcW w:w="491" w:type="pct"/>
            <w:vMerge w:val="continue"/>
            <w:vAlign w:val="center"/>
          </w:tcPr>
          <w:p>
            <w:pPr>
              <w:jc w:val="center"/>
              <w:rPr>
                <w:szCs w:val="21"/>
              </w:rPr>
            </w:pPr>
          </w:p>
        </w:tc>
        <w:tc>
          <w:tcPr>
            <w:tcW w:w="4097" w:type="pct"/>
            <w:vAlign w:val="center"/>
          </w:tcPr>
          <w:p>
            <w:pPr>
              <w:jc w:val="left"/>
              <w:rPr>
                <w:szCs w:val="21"/>
              </w:rPr>
            </w:pPr>
            <w:r>
              <w:rPr>
                <w:szCs w:val="21"/>
              </w:rPr>
              <w:t>实验模块面板要求采用PCB板制作而成，表面清爽、符号线路清晰、表面耐磨损、元件更换容易；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Merge w:val="continue"/>
            <w:vAlign w:val="center"/>
          </w:tcPr>
          <w:p>
            <w:pPr>
              <w:jc w:val="center"/>
              <w:rPr>
                <w:szCs w:val="21"/>
              </w:rPr>
            </w:pPr>
          </w:p>
        </w:tc>
        <w:tc>
          <w:tcPr>
            <w:tcW w:w="491" w:type="pct"/>
            <w:vMerge w:val="continue"/>
            <w:vAlign w:val="center"/>
          </w:tcPr>
          <w:p>
            <w:pPr>
              <w:jc w:val="center"/>
              <w:rPr>
                <w:szCs w:val="21"/>
              </w:rPr>
            </w:pPr>
          </w:p>
        </w:tc>
        <w:tc>
          <w:tcPr>
            <w:tcW w:w="4097" w:type="pct"/>
            <w:vAlign w:val="center"/>
          </w:tcPr>
          <w:p>
            <w:pPr>
              <w:jc w:val="left"/>
              <w:rPr>
                <w:szCs w:val="21"/>
              </w:rPr>
            </w:pPr>
            <w:r>
              <w:rPr>
                <w:szCs w:val="21"/>
              </w:rPr>
              <w:t>面板上标志的元件电路符号采用最新国家标准，具有整体结构紧凑、外形美观大方、安装简单、使用保管方便等特点。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pPr>
              <w:jc w:val="center"/>
              <w:rPr>
                <w:szCs w:val="21"/>
              </w:rPr>
            </w:pPr>
            <w:r>
              <w:rPr>
                <w:szCs w:val="21"/>
              </w:rPr>
              <w:t>2</w:t>
            </w:r>
          </w:p>
        </w:tc>
        <w:tc>
          <w:tcPr>
            <w:tcW w:w="491" w:type="pct"/>
            <w:vAlign w:val="center"/>
          </w:tcPr>
          <w:p>
            <w:pPr>
              <w:jc w:val="center"/>
              <w:rPr>
                <w:szCs w:val="21"/>
              </w:rPr>
            </w:pPr>
            <w:r>
              <w:rPr>
                <w:szCs w:val="21"/>
              </w:rPr>
              <w:t>电子实验单元模块</w:t>
            </w:r>
          </w:p>
        </w:tc>
        <w:tc>
          <w:tcPr>
            <w:tcW w:w="4097" w:type="pct"/>
            <w:vAlign w:val="center"/>
          </w:tcPr>
          <w:p>
            <w:pPr>
              <w:jc w:val="left"/>
              <w:rPr>
                <w:szCs w:val="21"/>
                <w:highlight w:val="magenta"/>
              </w:rPr>
            </w:pPr>
            <w:r>
              <w:rPr>
                <w:szCs w:val="21"/>
              </w:rPr>
              <w:t>提供多种电子实验单元模块，应包括两路正负输出单次脉冲源、1Hz、1kHz、1MHz固定输出脉冲源、10Hz～10kHz连续可调的计数脉冲源、十位逻辑电平显示、十位逻辑电平开关、共阴数码管驱动电路、-5V～+5V直流可调电源两路、高可靠圆脚集成块插座（8P、14P、16P等）、集成稳压块、扬声器、蜂鸣器、各种电阻器、电容器、电位器、稳压二极管、整流二极管、三极管、电容排、三端元件等。</w:t>
            </w:r>
            <w:r>
              <w:rPr>
                <w:b/>
                <w:bCs/>
                <w:szCs w:val="21"/>
              </w:rPr>
              <w:t>要求提供模块清单。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pPr>
              <w:jc w:val="center"/>
              <w:rPr>
                <w:szCs w:val="21"/>
              </w:rPr>
            </w:pPr>
            <w:r>
              <w:rPr>
                <w:szCs w:val="21"/>
              </w:rPr>
              <w:t>3</w:t>
            </w:r>
          </w:p>
        </w:tc>
        <w:tc>
          <w:tcPr>
            <w:tcW w:w="491" w:type="pct"/>
            <w:vAlign w:val="center"/>
          </w:tcPr>
          <w:p>
            <w:pPr>
              <w:jc w:val="center"/>
              <w:rPr>
                <w:szCs w:val="21"/>
              </w:rPr>
            </w:pPr>
            <w:r>
              <w:rPr>
                <w:szCs w:val="21"/>
              </w:rPr>
              <w:t>实验底板</w:t>
            </w:r>
          </w:p>
        </w:tc>
        <w:tc>
          <w:tcPr>
            <w:tcW w:w="4097" w:type="pct"/>
            <w:vAlign w:val="center"/>
          </w:tcPr>
          <w:p>
            <w:pPr>
              <w:jc w:val="left"/>
              <w:rPr>
                <w:szCs w:val="21"/>
              </w:rPr>
            </w:pPr>
            <w:r>
              <w:rPr>
                <w:szCs w:val="21"/>
              </w:rPr>
              <w:t>要求采用白色亚克力板材质，底板上以13×13阵列规格均匀分布多个圆孔，厚度≥10mm。要求即可平放在桌面上，也可挂到实验台上。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pPr>
              <w:jc w:val="center"/>
              <w:rPr>
                <w:szCs w:val="21"/>
              </w:rPr>
            </w:pPr>
            <w:r>
              <w:rPr>
                <w:szCs w:val="21"/>
              </w:rPr>
              <w:t>4</w:t>
            </w:r>
          </w:p>
        </w:tc>
        <w:tc>
          <w:tcPr>
            <w:tcW w:w="491" w:type="pct"/>
            <w:vAlign w:val="center"/>
          </w:tcPr>
          <w:p>
            <w:pPr>
              <w:jc w:val="center"/>
              <w:rPr>
                <w:szCs w:val="21"/>
              </w:rPr>
            </w:pPr>
            <w:r>
              <w:rPr>
                <w:szCs w:val="21"/>
              </w:rPr>
              <w:t>配件</w:t>
            </w:r>
          </w:p>
        </w:tc>
        <w:tc>
          <w:tcPr>
            <w:tcW w:w="4097" w:type="pct"/>
            <w:vAlign w:val="center"/>
          </w:tcPr>
          <w:p>
            <w:pPr>
              <w:jc w:val="left"/>
              <w:rPr>
                <w:szCs w:val="21"/>
              </w:rPr>
            </w:pPr>
            <w:r>
              <w:rPr>
                <w:szCs w:val="21"/>
              </w:rPr>
              <w:t>提供与实验模块相匹配的实验指导书和实验元器件等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Merge w:val="restart"/>
            <w:vAlign w:val="center"/>
          </w:tcPr>
          <w:p>
            <w:pPr>
              <w:spacing w:line="240" w:lineRule="exact"/>
              <w:jc w:val="center"/>
              <w:rPr>
                <w:szCs w:val="21"/>
              </w:rPr>
            </w:pPr>
            <w:r>
              <w:rPr>
                <w:szCs w:val="21"/>
              </w:rPr>
              <w:t>5</w:t>
            </w:r>
          </w:p>
        </w:tc>
        <w:tc>
          <w:tcPr>
            <w:tcW w:w="491" w:type="pct"/>
            <w:vMerge w:val="restart"/>
            <w:vAlign w:val="center"/>
          </w:tcPr>
          <w:p>
            <w:pPr>
              <w:spacing w:line="240" w:lineRule="exact"/>
              <w:jc w:val="center"/>
              <w:rPr>
                <w:szCs w:val="21"/>
              </w:rPr>
            </w:pPr>
            <w:r>
              <w:rPr>
                <w:szCs w:val="21"/>
              </w:rPr>
              <w:t>应完成的实验项目</w:t>
            </w:r>
          </w:p>
        </w:tc>
        <w:tc>
          <w:tcPr>
            <w:tcW w:w="4097" w:type="pct"/>
            <w:vAlign w:val="center"/>
          </w:tcPr>
          <w:p>
            <w:pPr>
              <w:spacing w:line="240" w:lineRule="exact"/>
              <w:jc w:val="left"/>
              <w:rPr>
                <w:szCs w:val="21"/>
              </w:rPr>
            </w:pPr>
            <w:r>
              <w:rPr>
                <w:szCs w:val="21"/>
              </w:rPr>
              <w:t>根据以上电子实验单元模块，要求能完成以下实验项目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Merge w:val="continue"/>
            <w:vAlign w:val="center"/>
          </w:tcPr>
          <w:p>
            <w:pPr>
              <w:spacing w:line="240" w:lineRule="exact"/>
              <w:jc w:val="center"/>
              <w:rPr>
                <w:szCs w:val="21"/>
              </w:rPr>
            </w:pPr>
          </w:p>
        </w:tc>
        <w:tc>
          <w:tcPr>
            <w:tcW w:w="491" w:type="pct"/>
            <w:vMerge w:val="continue"/>
            <w:vAlign w:val="center"/>
          </w:tcPr>
          <w:p>
            <w:pPr>
              <w:spacing w:line="240" w:lineRule="exact"/>
              <w:jc w:val="center"/>
              <w:rPr>
                <w:szCs w:val="21"/>
              </w:rPr>
            </w:pPr>
          </w:p>
        </w:tc>
        <w:tc>
          <w:tcPr>
            <w:tcW w:w="4097" w:type="pct"/>
            <w:vAlign w:val="center"/>
          </w:tcPr>
          <w:p>
            <w:pPr>
              <w:spacing w:line="240" w:lineRule="exact"/>
              <w:jc w:val="left"/>
              <w:rPr>
                <w:szCs w:val="21"/>
              </w:rPr>
            </w:pPr>
            <w:r>
              <w:rPr>
                <w:szCs w:val="21"/>
              </w:rPr>
              <w:t>晶体管开关特性、限幅器与钳位器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Merge w:val="continue"/>
            <w:vAlign w:val="center"/>
          </w:tcPr>
          <w:p>
            <w:pPr>
              <w:spacing w:line="240" w:lineRule="exact"/>
              <w:jc w:val="center"/>
              <w:rPr>
                <w:szCs w:val="21"/>
              </w:rPr>
            </w:pPr>
          </w:p>
        </w:tc>
        <w:tc>
          <w:tcPr>
            <w:tcW w:w="491" w:type="pct"/>
            <w:vMerge w:val="continue"/>
            <w:vAlign w:val="center"/>
          </w:tcPr>
          <w:p>
            <w:pPr>
              <w:spacing w:line="240" w:lineRule="exact"/>
              <w:jc w:val="center"/>
              <w:rPr>
                <w:szCs w:val="21"/>
              </w:rPr>
            </w:pPr>
          </w:p>
        </w:tc>
        <w:tc>
          <w:tcPr>
            <w:tcW w:w="4097" w:type="pct"/>
            <w:vAlign w:val="center"/>
          </w:tcPr>
          <w:p>
            <w:pPr>
              <w:spacing w:line="240" w:lineRule="exact"/>
              <w:jc w:val="left"/>
              <w:rPr>
                <w:szCs w:val="21"/>
              </w:rPr>
            </w:pPr>
            <w:r>
              <w:rPr>
                <w:szCs w:val="21"/>
              </w:rPr>
              <w:t>TTL集成逻辑门的逻辑功能与参数测试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Merge w:val="continue"/>
            <w:vAlign w:val="center"/>
          </w:tcPr>
          <w:p>
            <w:pPr>
              <w:spacing w:line="240" w:lineRule="exact"/>
              <w:jc w:val="center"/>
              <w:rPr>
                <w:szCs w:val="21"/>
              </w:rPr>
            </w:pPr>
          </w:p>
        </w:tc>
        <w:tc>
          <w:tcPr>
            <w:tcW w:w="491" w:type="pct"/>
            <w:vMerge w:val="continue"/>
            <w:vAlign w:val="center"/>
          </w:tcPr>
          <w:p>
            <w:pPr>
              <w:spacing w:line="240" w:lineRule="exact"/>
              <w:jc w:val="center"/>
              <w:rPr>
                <w:szCs w:val="21"/>
              </w:rPr>
            </w:pPr>
          </w:p>
        </w:tc>
        <w:tc>
          <w:tcPr>
            <w:tcW w:w="4097" w:type="pct"/>
            <w:vAlign w:val="center"/>
          </w:tcPr>
          <w:p>
            <w:pPr>
              <w:spacing w:line="240" w:lineRule="exact"/>
              <w:jc w:val="left"/>
              <w:rPr>
                <w:szCs w:val="21"/>
              </w:rPr>
            </w:pPr>
            <w:r>
              <w:rPr>
                <w:szCs w:val="21"/>
              </w:rPr>
              <w:t>集成逻辑电路的连接和驱动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Merge w:val="continue"/>
            <w:vAlign w:val="center"/>
          </w:tcPr>
          <w:p>
            <w:pPr>
              <w:spacing w:line="240" w:lineRule="exact"/>
              <w:jc w:val="center"/>
              <w:rPr>
                <w:szCs w:val="21"/>
              </w:rPr>
            </w:pPr>
          </w:p>
        </w:tc>
        <w:tc>
          <w:tcPr>
            <w:tcW w:w="491" w:type="pct"/>
            <w:vMerge w:val="continue"/>
            <w:vAlign w:val="center"/>
          </w:tcPr>
          <w:p>
            <w:pPr>
              <w:spacing w:line="240" w:lineRule="exact"/>
              <w:jc w:val="center"/>
              <w:rPr>
                <w:szCs w:val="21"/>
              </w:rPr>
            </w:pPr>
          </w:p>
        </w:tc>
        <w:tc>
          <w:tcPr>
            <w:tcW w:w="4097" w:type="pct"/>
            <w:vAlign w:val="center"/>
          </w:tcPr>
          <w:p>
            <w:pPr>
              <w:spacing w:line="240" w:lineRule="exact"/>
              <w:jc w:val="left"/>
              <w:rPr>
                <w:szCs w:val="21"/>
              </w:rPr>
            </w:pPr>
            <w:r>
              <w:rPr>
                <w:szCs w:val="21"/>
              </w:rPr>
              <w:t>组合逻辑电路的设计与测试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Merge w:val="continue"/>
            <w:vAlign w:val="center"/>
          </w:tcPr>
          <w:p>
            <w:pPr>
              <w:spacing w:line="240" w:lineRule="exact"/>
              <w:jc w:val="center"/>
              <w:rPr>
                <w:szCs w:val="21"/>
              </w:rPr>
            </w:pPr>
          </w:p>
        </w:tc>
        <w:tc>
          <w:tcPr>
            <w:tcW w:w="491" w:type="pct"/>
            <w:vMerge w:val="continue"/>
            <w:vAlign w:val="center"/>
          </w:tcPr>
          <w:p>
            <w:pPr>
              <w:spacing w:line="240" w:lineRule="exact"/>
              <w:jc w:val="center"/>
              <w:rPr>
                <w:szCs w:val="21"/>
              </w:rPr>
            </w:pPr>
          </w:p>
        </w:tc>
        <w:tc>
          <w:tcPr>
            <w:tcW w:w="4097" w:type="pct"/>
            <w:vAlign w:val="center"/>
          </w:tcPr>
          <w:p>
            <w:pPr>
              <w:spacing w:line="240" w:lineRule="exact"/>
              <w:jc w:val="left"/>
              <w:rPr>
                <w:szCs w:val="21"/>
              </w:rPr>
            </w:pPr>
            <w:r>
              <w:rPr>
                <w:szCs w:val="21"/>
              </w:rPr>
              <w:t>计数器及其应用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Merge w:val="continue"/>
            <w:vAlign w:val="center"/>
          </w:tcPr>
          <w:p>
            <w:pPr>
              <w:spacing w:line="240" w:lineRule="exact"/>
              <w:jc w:val="center"/>
              <w:rPr>
                <w:szCs w:val="21"/>
              </w:rPr>
            </w:pPr>
          </w:p>
        </w:tc>
        <w:tc>
          <w:tcPr>
            <w:tcW w:w="491" w:type="pct"/>
            <w:vMerge w:val="continue"/>
            <w:vAlign w:val="center"/>
          </w:tcPr>
          <w:p>
            <w:pPr>
              <w:spacing w:line="240" w:lineRule="exact"/>
              <w:jc w:val="center"/>
              <w:rPr>
                <w:szCs w:val="21"/>
              </w:rPr>
            </w:pPr>
          </w:p>
        </w:tc>
        <w:tc>
          <w:tcPr>
            <w:tcW w:w="4097" w:type="pct"/>
            <w:vAlign w:val="center"/>
          </w:tcPr>
          <w:p>
            <w:pPr>
              <w:spacing w:line="240" w:lineRule="exact"/>
              <w:jc w:val="left"/>
              <w:rPr>
                <w:szCs w:val="21"/>
              </w:rPr>
            </w:pPr>
            <w:r>
              <w:rPr>
                <w:szCs w:val="21"/>
              </w:rPr>
              <w:t>脉冲分配器及其应用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Merge w:val="continue"/>
            <w:vAlign w:val="center"/>
          </w:tcPr>
          <w:p>
            <w:pPr>
              <w:spacing w:line="240" w:lineRule="exact"/>
              <w:jc w:val="center"/>
              <w:rPr>
                <w:szCs w:val="21"/>
              </w:rPr>
            </w:pPr>
          </w:p>
        </w:tc>
        <w:tc>
          <w:tcPr>
            <w:tcW w:w="491" w:type="pct"/>
            <w:vMerge w:val="continue"/>
            <w:vAlign w:val="center"/>
          </w:tcPr>
          <w:p>
            <w:pPr>
              <w:spacing w:line="240" w:lineRule="exact"/>
              <w:jc w:val="center"/>
              <w:rPr>
                <w:szCs w:val="21"/>
              </w:rPr>
            </w:pPr>
          </w:p>
        </w:tc>
        <w:tc>
          <w:tcPr>
            <w:tcW w:w="4097" w:type="pct"/>
            <w:vAlign w:val="center"/>
          </w:tcPr>
          <w:p>
            <w:pPr>
              <w:spacing w:line="240" w:lineRule="exact"/>
              <w:jc w:val="left"/>
              <w:rPr>
                <w:szCs w:val="21"/>
              </w:rPr>
            </w:pPr>
            <w:r>
              <w:rPr>
                <w:szCs w:val="21"/>
              </w:rPr>
              <w:t>使用门电路产生脉冲信号——自激多谐振荡器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Merge w:val="continue"/>
            <w:vAlign w:val="center"/>
          </w:tcPr>
          <w:p>
            <w:pPr>
              <w:spacing w:line="240" w:lineRule="exact"/>
              <w:jc w:val="center"/>
              <w:rPr>
                <w:szCs w:val="21"/>
              </w:rPr>
            </w:pPr>
          </w:p>
        </w:tc>
        <w:tc>
          <w:tcPr>
            <w:tcW w:w="491" w:type="pct"/>
            <w:vMerge w:val="continue"/>
            <w:vAlign w:val="center"/>
          </w:tcPr>
          <w:p>
            <w:pPr>
              <w:spacing w:line="240" w:lineRule="exact"/>
              <w:jc w:val="center"/>
              <w:rPr>
                <w:szCs w:val="21"/>
              </w:rPr>
            </w:pPr>
          </w:p>
        </w:tc>
        <w:tc>
          <w:tcPr>
            <w:tcW w:w="4097" w:type="pct"/>
            <w:vAlign w:val="center"/>
          </w:tcPr>
          <w:p>
            <w:pPr>
              <w:spacing w:line="240" w:lineRule="exact"/>
              <w:jc w:val="left"/>
              <w:rPr>
                <w:szCs w:val="21"/>
              </w:rPr>
            </w:pPr>
            <w:r>
              <w:rPr>
                <w:szCs w:val="21"/>
              </w:rPr>
              <w:t>单稳态触发器与施密特触发器——脉冲延时与波形整形电路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Merge w:val="continue"/>
            <w:vAlign w:val="center"/>
          </w:tcPr>
          <w:p>
            <w:pPr>
              <w:spacing w:line="240" w:lineRule="exact"/>
              <w:jc w:val="center"/>
              <w:rPr>
                <w:szCs w:val="21"/>
              </w:rPr>
            </w:pPr>
          </w:p>
        </w:tc>
        <w:tc>
          <w:tcPr>
            <w:tcW w:w="491" w:type="pct"/>
            <w:vMerge w:val="continue"/>
            <w:vAlign w:val="center"/>
          </w:tcPr>
          <w:p>
            <w:pPr>
              <w:spacing w:line="240" w:lineRule="exact"/>
              <w:jc w:val="center"/>
              <w:rPr>
                <w:szCs w:val="21"/>
              </w:rPr>
            </w:pPr>
          </w:p>
        </w:tc>
        <w:tc>
          <w:tcPr>
            <w:tcW w:w="4097" w:type="pct"/>
            <w:vAlign w:val="center"/>
          </w:tcPr>
          <w:p>
            <w:pPr>
              <w:spacing w:line="240" w:lineRule="exact"/>
              <w:jc w:val="left"/>
              <w:rPr>
                <w:szCs w:val="21"/>
              </w:rPr>
            </w:pPr>
            <w:r>
              <w:rPr>
                <w:szCs w:val="21"/>
              </w:rPr>
              <w:t>555时基电路及其应用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Merge w:val="continue"/>
            <w:vAlign w:val="center"/>
          </w:tcPr>
          <w:p>
            <w:pPr>
              <w:spacing w:line="240" w:lineRule="exact"/>
              <w:jc w:val="center"/>
              <w:rPr>
                <w:szCs w:val="21"/>
              </w:rPr>
            </w:pPr>
          </w:p>
        </w:tc>
        <w:tc>
          <w:tcPr>
            <w:tcW w:w="491" w:type="pct"/>
            <w:vMerge w:val="continue"/>
            <w:vAlign w:val="center"/>
          </w:tcPr>
          <w:p>
            <w:pPr>
              <w:spacing w:line="240" w:lineRule="exact"/>
              <w:jc w:val="center"/>
              <w:rPr>
                <w:szCs w:val="21"/>
              </w:rPr>
            </w:pPr>
          </w:p>
        </w:tc>
        <w:tc>
          <w:tcPr>
            <w:tcW w:w="4097" w:type="pct"/>
            <w:vAlign w:val="center"/>
          </w:tcPr>
          <w:p>
            <w:pPr>
              <w:spacing w:line="240" w:lineRule="exact"/>
              <w:jc w:val="left"/>
              <w:rPr>
                <w:szCs w:val="21"/>
              </w:rPr>
            </w:pPr>
            <w:r>
              <w:rPr>
                <w:szCs w:val="21"/>
              </w:rPr>
              <w:t>常用电子仪器的使用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Merge w:val="continue"/>
            <w:vAlign w:val="center"/>
          </w:tcPr>
          <w:p>
            <w:pPr>
              <w:spacing w:line="240" w:lineRule="exact"/>
              <w:jc w:val="center"/>
              <w:rPr>
                <w:szCs w:val="21"/>
              </w:rPr>
            </w:pPr>
          </w:p>
        </w:tc>
        <w:tc>
          <w:tcPr>
            <w:tcW w:w="491" w:type="pct"/>
            <w:vMerge w:val="continue"/>
            <w:vAlign w:val="center"/>
          </w:tcPr>
          <w:p>
            <w:pPr>
              <w:spacing w:line="240" w:lineRule="exact"/>
              <w:jc w:val="center"/>
              <w:rPr>
                <w:szCs w:val="21"/>
              </w:rPr>
            </w:pPr>
          </w:p>
        </w:tc>
        <w:tc>
          <w:tcPr>
            <w:tcW w:w="4097" w:type="pct"/>
            <w:vAlign w:val="center"/>
          </w:tcPr>
          <w:p>
            <w:pPr>
              <w:spacing w:line="240" w:lineRule="exact"/>
              <w:jc w:val="left"/>
              <w:rPr>
                <w:szCs w:val="21"/>
              </w:rPr>
            </w:pPr>
            <w:r>
              <w:rPr>
                <w:szCs w:val="21"/>
              </w:rPr>
              <w:t>晶体管共射极单管放大器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Merge w:val="continue"/>
            <w:vAlign w:val="center"/>
          </w:tcPr>
          <w:p>
            <w:pPr>
              <w:spacing w:line="240" w:lineRule="exact"/>
              <w:jc w:val="center"/>
              <w:rPr>
                <w:szCs w:val="21"/>
              </w:rPr>
            </w:pPr>
          </w:p>
        </w:tc>
        <w:tc>
          <w:tcPr>
            <w:tcW w:w="491" w:type="pct"/>
            <w:vMerge w:val="continue"/>
            <w:vAlign w:val="center"/>
          </w:tcPr>
          <w:p>
            <w:pPr>
              <w:spacing w:line="240" w:lineRule="exact"/>
              <w:jc w:val="center"/>
              <w:rPr>
                <w:szCs w:val="21"/>
              </w:rPr>
            </w:pPr>
          </w:p>
        </w:tc>
        <w:tc>
          <w:tcPr>
            <w:tcW w:w="4097" w:type="pct"/>
            <w:vAlign w:val="center"/>
          </w:tcPr>
          <w:p>
            <w:pPr>
              <w:spacing w:line="240" w:lineRule="exact"/>
              <w:jc w:val="left"/>
              <w:rPr>
                <w:szCs w:val="21"/>
              </w:rPr>
            </w:pPr>
            <w:r>
              <w:rPr>
                <w:szCs w:val="21"/>
              </w:rPr>
              <w:t>差动放大器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Merge w:val="continue"/>
            <w:vAlign w:val="center"/>
          </w:tcPr>
          <w:p>
            <w:pPr>
              <w:spacing w:line="240" w:lineRule="exact"/>
              <w:jc w:val="center"/>
              <w:rPr>
                <w:szCs w:val="21"/>
              </w:rPr>
            </w:pPr>
          </w:p>
        </w:tc>
        <w:tc>
          <w:tcPr>
            <w:tcW w:w="491" w:type="pct"/>
            <w:vMerge w:val="continue"/>
            <w:vAlign w:val="center"/>
          </w:tcPr>
          <w:p>
            <w:pPr>
              <w:spacing w:line="240" w:lineRule="exact"/>
              <w:jc w:val="center"/>
              <w:rPr>
                <w:szCs w:val="21"/>
              </w:rPr>
            </w:pPr>
          </w:p>
        </w:tc>
        <w:tc>
          <w:tcPr>
            <w:tcW w:w="4097" w:type="pct"/>
            <w:vAlign w:val="center"/>
          </w:tcPr>
          <w:p>
            <w:pPr>
              <w:spacing w:line="240" w:lineRule="exact"/>
              <w:jc w:val="left"/>
              <w:rPr>
                <w:szCs w:val="21"/>
              </w:rPr>
            </w:pPr>
            <w:r>
              <w:rPr>
                <w:szCs w:val="21"/>
              </w:rPr>
              <w:t>集成运算放大器指标测试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Merge w:val="continue"/>
            <w:vAlign w:val="center"/>
          </w:tcPr>
          <w:p>
            <w:pPr>
              <w:spacing w:line="240" w:lineRule="exact"/>
              <w:jc w:val="center"/>
              <w:rPr>
                <w:szCs w:val="21"/>
              </w:rPr>
            </w:pPr>
          </w:p>
        </w:tc>
        <w:tc>
          <w:tcPr>
            <w:tcW w:w="491" w:type="pct"/>
            <w:vMerge w:val="continue"/>
            <w:vAlign w:val="center"/>
          </w:tcPr>
          <w:p>
            <w:pPr>
              <w:spacing w:line="240" w:lineRule="exact"/>
              <w:jc w:val="center"/>
              <w:rPr>
                <w:szCs w:val="21"/>
              </w:rPr>
            </w:pPr>
          </w:p>
        </w:tc>
        <w:tc>
          <w:tcPr>
            <w:tcW w:w="4097" w:type="pct"/>
            <w:vAlign w:val="center"/>
          </w:tcPr>
          <w:p>
            <w:pPr>
              <w:spacing w:line="240" w:lineRule="exact"/>
              <w:jc w:val="left"/>
              <w:rPr>
                <w:szCs w:val="21"/>
              </w:rPr>
            </w:pPr>
            <w:r>
              <w:rPr>
                <w:szCs w:val="21"/>
              </w:rPr>
              <w:t>集成运算放大器的基本应用</w:t>
            </w:r>
            <w:r>
              <w:rPr>
                <w:rFonts w:hint="eastAsia" w:ascii="宋体" w:hAnsi="宋体" w:cs="宋体"/>
                <w:szCs w:val="21"/>
              </w:rPr>
              <w:t>Ⅰ</w:t>
            </w:r>
            <w:r>
              <w:rPr>
                <w:szCs w:val="21"/>
              </w:rPr>
              <w:t>—模拟运算电路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Merge w:val="continue"/>
            <w:vAlign w:val="center"/>
          </w:tcPr>
          <w:p>
            <w:pPr>
              <w:spacing w:line="240" w:lineRule="exact"/>
              <w:jc w:val="center"/>
              <w:rPr>
                <w:szCs w:val="21"/>
              </w:rPr>
            </w:pPr>
          </w:p>
        </w:tc>
        <w:tc>
          <w:tcPr>
            <w:tcW w:w="491" w:type="pct"/>
            <w:vMerge w:val="continue"/>
            <w:vAlign w:val="center"/>
          </w:tcPr>
          <w:p>
            <w:pPr>
              <w:spacing w:line="240" w:lineRule="exact"/>
              <w:jc w:val="center"/>
              <w:rPr>
                <w:szCs w:val="21"/>
              </w:rPr>
            </w:pPr>
          </w:p>
        </w:tc>
        <w:tc>
          <w:tcPr>
            <w:tcW w:w="4097" w:type="pct"/>
            <w:vAlign w:val="center"/>
          </w:tcPr>
          <w:p>
            <w:pPr>
              <w:spacing w:line="240" w:lineRule="exact"/>
              <w:jc w:val="left"/>
              <w:rPr>
                <w:szCs w:val="21"/>
              </w:rPr>
            </w:pPr>
            <w:r>
              <w:rPr>
                <w:szCs w:val="21"/>
              </w:rPr>
              <w:t>集成运算放大器的基本应用</w:t>
            </w:r>
            <w:r>
              <w:rPr>
                <w:rFonts w:hint="eastAsia" w:ascii="宋体" w:hAnsi="宋体" w:cs="宋体"/>
                <w:szCs w:val="21"/>
              </w:rPr>
              <w:t>Ⅱ</w:t>
            </w:r>
            <w:r>
              <w:rPr>
                <w:szCs w:val="21"/>
              </w:rPr>
              <w:t>—信号处理(有源滤波器)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Merge w:val="continue"/>
            <w:vAlign w:val="center"/>
          </w:tcPr>
          <w:p>
            <w:pPr>
              <w:spacing w:line="240" w:lineRule="exact"/>
              <w:jc w:val="center"/>
              <w:rPr>
                <w:szCs w:val="21"/>
              </w:rPr>
            </w:pPr>
          </w:p>
        </w:tc>
        <w:tc>
          <w:tcPr>
            <w:tcW w:w="491" w:type="pct"/>
            <w:vMerge w:val="continue"/>
            <w:vAlign w:val="center"/>
          </w:tcPr>
          <w:p>
            <w:pPr>
              <w:spacing w:line="240" w:lineRule="exact"/>
              <w:jc w:val="center"/>
              <w:rPr>
                <w:szCs w:val="21"/>
              </w:rPr>
            </w:pPr>
          </w:p>
        </w:tc>
        <w:tc>
          <w:tcPr>
            <w:tcW w:w="4097" w:type="pct"/>
            <w:vAlign w:val="center"/>
          </w:tcPr>
          <w:p>
            <w:pPr>
              <w:spacing w:line="240" w:lineRule="exact"/>
              <w:jc w:val="left"/>
              <w:rPr>
                <w:szCs w:val="21"/>
              </w:rPr>
            </w:pPr>
            <w:r>
              <w:rPr>
                <w:szCs w:val="21"/>
              </w:rPr>
              <w:t>集成运算放大器的基本应用</w:t>
            </w:r>
            <w:r>
              <w:rPr>
                <w:rFonts w:hint="eastAsia" w:ascii="宋体" w:hAnsi="宋体" w:cs="宋体"/>
                <w:szCs w:val="21"/>
              </w:rPr>
              <w:t>Ⅲ</w:t>
            </w:r>
            <w:r>
              <w:rPr>
                <w:szCs w:val="21"/>
              </w:rPr>
              <w:t>—信号处理(电压比较器)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Merge w:val="continue"/>
            <w:vAlign w:val="center"/>
          </w:tcPr>
          <w:p>
            <w:pPr>
              <w:spacing w:line="240" w:lineRule="exact"/>
              <w:jc w:val="center"/>
              <w:rPr>
                <w:szCs w:val="21"/>
              </w:rPr>
            </w:pPr>
          </w:p>
        </w:tc>
        <w:tc>
          <w:tcPr>
            <w:tcW w:w="491" w:type="pct"/>
            <w:vMerge w:val="continue"/>
            <w:vAlign w:val="center"/>
          </w:tcPr>
          <w:p>
            <w:pPr>
              <w:spacing w:line="240" w:lineRule="exact"/>
              <w:jc w:val="center"/>
              <w:rPr>
                <w:szCs w:val="21"/>
              </w:rPr>
            </w:pPr>
          </w:p>
        </w:tc>
        <w:tc>
          <w:tcPr>
            <w:tcW w:w="4097" w:type="pct"/>
            <w:vAlign w:val="center"/>
          </w:tcPr>
          <w:p>
            <w:pPr>
              <w:spacing w:line="240" w:lineRule="exact"/>
              <w:jc w:val="left"/>
              <w:rPr>
                <w:szCs w:val="21"/>
              </w:rPr>
            </w:pPr>
            <w:r>
              <w:rPr>
                <w:szCs w:val="21"/>
              </w:rPr>
              <w:t>集成运算放大器的基本应用</w:t>
            </w:r>
            <w:r>
              <w:rPr>
                <w:rFonts w:hint="eastAsia" w:ascii="宋体" w:hAnsi="宋体" w:cs="宋体"/>
                <w:szCs w:val="21"/>
              </w:rPr>
              <w:t>Ⅳ</w:t>
            </w:r>
            <w:r>
              <w:rPr>
                <w:szCs w:val="21"/>
              </w:rPr>
              <w:t>—信号处理(波形发生器)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Merge w:val="continue"/>
            <w:vAlign w:val="center"/>
          </w:tcPr>
          <w:p>
            <w:pPr>
              <w:spacing w:line="240" w:lineRule="exact"/>
              <w:jc w:val="center"/>
              <w:rPr>
                <w:szCs w:val="21"/>
              </w:rPr>
            </w:pPr>
          </w:p>
        </w:tc>
        <w:tc>
          <w:tcPr>
            <w:tcW w:w="491" w:type="pct"/>
            <w:vMerge w:val="continue"/>
            <w:vAlign w:val="center"/>
          </w:tcPr>
          <w:p>
            <w:pPr>
              <w:spacing w:line="240" w:lineRule="exact"/>
              <w:jc w:val="center"/>
              <w:rPr>
                <w:szCs w:val="21"/>
              </w:rPr>
            </w:pPr>
          </w:p>
        </w:tc>
        <w:tc>
          <w:tcPr>
            <w:tcW w:w="4097" w:type="pct"/>
            <w:vAlign w:val="center"/>
          </w:tcPr>
          <w:p>
            <w:pPr>
              <w:spacing w:line="240" w:lineRule="exact"/>
              <w:jc w:val="left"/>
              <w:rPr>
                <w:szCs w:val="21"/>
              </w:rPr>
            </w:pPr>
            <w:r>
              <w:rPr>
                <w:szCs w:val="21"/>
              </w:rPr>
              <w:t>压控振荡器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Merge w:val="continue"/>
            <w:vAlign w:val="center"/>
          </w:tcPr>
          <w:p>
            <w:pPr>
              <w:spacing w:line="240" w:lineRule="exact"/>
              <w:jc w:val="center"/>
              <w:rPr>
                <w:szCs w:val="21"/>
              </w:rPr>
            </w:pPr>
          </w:p>
        </w:tc>
        <w:tc>
          <w:tcPr>
            <w:tcW w:w="491" w:type="pct"/>
            <w:vMerge w:val="continue"/>
            <w:vAlign w:val="center"/>
          </w:tcPr>
          <w:p>
            <w:pPr>
              <w:spacing w:line="240" w:lineRule="exact"/>
              <w:jc w:val="center"/>
              <w:rPr>
                <w:szCs w:val="21"/>
              </w:rPr>
            </w:pPr>
          </w:p>
        </w:tc>
        <w:tc>
          <w:tcPr>
            <w:tcW w:w="4097" w:type="pct"/>
            <w:vAlign w:val="center"/>
          </w:tcPr>
          <w:p>
            <w:pPr>
              <w:spacing w:line="240" w:lineRule="exact"/>
              <w:jc w:val="left"/>
              <w:rPr>
                <w:szCs w:val="21"/>
              </w:rPr>
            </w:pPr>
            <w:r>
              <w:rPr>
                <w:szCs w:val="21"/>
              </w:rPr>
              <w:t>直流稳压电源I—串联型晶体管稳压电源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Merge w:val="continue"/>
            <w:vAlign w:val="center"/>
          </w:tcPr>
          <w:p>
            <w:pPr>
              <w:spacing w:line="240" w:lineRule="exact"/>
              <w:jc w:val="center"/>
              <w:rPr>
                <w:szCs w:val="21"/>
              </w:rPr>
            </w:pPr>
          </w:p>
        </w:tc>
        <w:tc>
          <w:tcPr>
            <w:tcW w:w="491" w:type="pct"/>
            <w:vMerge w:val="continue"/>
            <w:vAlign w:val="center"/>
          </w:tcPr>
          <w:p>
            <w:pPr>
              <w:spacing w:line="240" w:lineRule="exact"/>
              <w:jc w:val="center"/>
              <w:rPr>
                <w:szCs w:val="21"/>
              </w:rPr>
            </w:pPr>
          </w:p>
        </w:tc>
        <w:tc>
          <w:tcPr>
            <w:tcW w:w="4097" w:type="pct"/>
            <w:vAlign w:val="center"/>
          </w:tcPr>
          <w:p>
            <w:pPr>
              <w:spacing w:line="240" w:lineRule="exact"/>
              <w:jc w:val="left"/>
              <w:rPr>
                <w:szCs w:val="21"/>
              </w:rPr>
            </w:pPr>
            <w:r>
              <w:rPr>
                <w:szCs w:val="21"/>
              </w:rPr>
              <w:t>直流稳压电源II—集成稳压器</w:t>
            </w:r>
          </w:p>
        </w:tc>
      </w:tr>
    </w:tbl>
    <w:p>
      <w:pPr>
        <w:rPr>
          <w:rFonts w:cs="宋体" w:asciiTheme="minorEastAsia" w:hAnsiTheme="minorEastAsia" w:eastAsiaTheme="minorEastAsia"/>
          <w:sz w:val="28"/>
          <w:szCs w:val="28"/>
        </w:rPr>
      </w:pPr>
    </w:p>
    <w:p>
      <w:pPr>
        <w:ind w:firstLine="120" w:firstLineChars="50"/>
        <w:outlineLvl w:val="2"/>
        <w:rPr>
          <w:rFonts w:asciiTheme="minorEastAsia" w:hAnsiTheme="minorEastAsia" w:eastAsiaTheme="minorEastAsia"/>
          <w:b/>
          <w:bCs/>
          <w:sz w:val="24"/>
        </w:rPr>
      </w:pPr>
      <w:r>
        <w:rPr>
          <w:rFonts w:hint="eastAsia" w:cs="宋体" w:asciiTheme="minorEastAsia" w:hAnsiTheme="minorEastAsia" w:eastAsiaTheme="minorEastAsia"/>
          <w:b/>
          <w:bCs/>
          <w:sz w:val="24"/>
        </w:rPr>
        <w:t>（四）高可靠护套结构手枪插实验连接线及配件</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837"/>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412" w:type="pct"/>
            <w:vAlign w:val="center"/>
          </w:tcPr>
          <w:p>
            <w:pPr>
              <w:jc w:val="center"/>
              <w:rPr>
                <w:b/>
                <w:bCs/>
                <w:szCs w:val="21"/>
              </w:rPr>
            </w:pPr>
            <w:r>
              <w:rPr>
                <w:b/>
                <w:bCs/>
                <w:szCs w:val="21"/>
              </w:rPr>
              <w:t>序号</w:t>
            </w:r>
          </w:p>
        </w:tc>
        <w:tc>
          <w:tcPr>
            <w:tcW w:w="491" w:type="pct"/>
            <w:vAlign w:val="center"/>
          </w:tcPr>
          <w:p>
            <w:pPr>
              <w:jc w:val="center"/>
              <w:rPr>
                <w:b/>
                <w:bCs/>
                <w:szCs w:val="21"/>
              </w:rPr>
            </w:pPr>
            <w:r>
              <w:rPr>
                <w:b/>
                <w:bCs/>
                <w:szCs w:val="21"/>
              </w:rPr>
              <w:t>名称</w:t>
            </w:r>
          </w:p>
        </w:tc>
        <w:tc>
          <w:tcPr>
            <w:tcW w:w="4097" w:type="pct"/>
            <w:vAlign w:val="center"/>
          </w:tcPr>
          <w:p>
            <w:pPr>
              <w:jc w:val="center"/>
              <w:rPr>
                <w:b/>
                <w:bCs/>
                <w:szCs w:val="21"/>
              </w:rPr>
            </w:pPr>
            <w:r>
              <w:rPr>
                <w:b/>
                <w:bCs/>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412" w:type="pct"/>
            <w:vMerge w:val="restart"/>
            <w:vAlign w:val="center"/>
          </w:tcPr>
          <w:p>
            <w:pPr>
              <w:jc w:val="center"/>
              <w:rPr>
                <w:szCs w:val="21"/>
              </w:rPr>
            </w:pPr>
            <w:r>
              <w:rPr>
                <w:szCs w:val="21"/>
              </w:rPr>
              <w:t>1</w:t>
            </w:r>
          </w:p>
        </w:tc>
        <w:tc>
          <w:tcPr>
            <w:tcW w:w="491" w:type="pct"/>
            <w:vMerge w:val="restart"/>
            <w:vAlign w:val="center"/>
          </w:tcPr>
          <w:p>
            <w:pPr>
              <w:jc w:val="center"/>
              <w:rPr>
                <w:szCs w:val="21"/>
              </w:rPr>
            </w:pPr>
            <w:r>
              <w:rPr>
                <w:szCs w:val="21"/>
              </w:rPr>
              <w:t>高可靠护套结构手枪插实验连接线及配件</w:t>
            </w:r>
          </w:p>
        </w:tc>
        <w:tc>
          <w:tcPr>
            <w:tcW w:w="4097" w:type="pct"/>
            <w:vAlign w:val="center"/>
          </w:tcPr>
          <w:p>
            <w:pPr>
              <w:jc w:val="left"/>
              <w:rPr>
                <w:szCs w:val="21"/>
              </w:rPr>
            </w:pPr>
            <w:r>
              <w:rPr>
                <w:szCs w:val="21"/>
              </w:rPr>
              <w:t>要求根据不同实验项目的特点，配备不同规格的实验连接线；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412" w:type="pct"/>
            <w:vMerge w:val="continue"/>
            <w:vAlign w:val="center"/>
          </w:tcPr>
          <w:p>
            <w:pPr>
              <w:jc w:val="center"/>
              <w:rPr>
                <w:szCs w:val="21"/>
              </w:rPr>
            </w:pPr>
          </w:p>
        </w:tc>
        <w:tc>
          <w:tcPr>
            <w:tcW w:w="491" w:type="pct"/>
            <w:vMerge w:val="continue"/>
            <w:vAlign w:val="center"/>
          </w:tcPr>
          <w:p>
            <w:pPr>
              <w:jc w:val="center"/>
              <w:rPr>
                <w:szCs w:val="21"/>
              </w:rPr>
            </w:pPr>
          </w:p>
        </w:tc>
        <w:tc>
          <w:tcPr>
            <w:tcW w:w="4097" w:type="pct"/>
            <w:vAlign w:val="center"/>
          </w:tcPr>
          <w:p>
            <w:pPr>
              <w:jc w:val="left"/>
              <w:rPr>
                <w:szCs w:val="21"/>
              </w:rPr>
            </w:pPr>
            <w:r>
              <w:rPr>
                <w:szCs w:val="21"/>
              </w:rPr>
              <w:t>强电实验配备4号强电护套线；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412" w:type="pct"/>
            <w:vMerge w:val="continue"/>
            <w:vAlign w:val="center"/>
          </w:tcPr>
          <w:p>
            <w:pPr>
              <w:jc w:val="center"/>
              <w:rPr>
                <w:szCs w:val="21"/>
              </w:rPr>
            </w:pPr>
          </w:p>
        </w:tc>
        <w:tc>
          <w:tcPr>
            <w:tcW w:w="491" w:type="pct"/>
            <w:vMerge w:val="continue"/>
            <w:vAlign w:val="center"/>
          </w:tcPr>
          <w:p>
            <w:pPr>
              <w:jc w:val="center"/>
              <w:rPr>
                <w:szCs w:val="21"/>
              </w:rPr>
            </w:pPr>
          </w:p>
        </w:tc>
        <w:tc>
          <w:tcPr>
            <w:tcW w:w="4097" w:type="pct"/>
            <w:vAlign w:val="center"/>
          </w:tcPr>
          <w:p>
            <w:pPr>
              <w:jc w:val="left"/>
              <w:rPr>
                <w:szCs w:val="21"/>
              </w:rPr>
            </w:pPr>
            <w:r>
              <w:rPr>
                <w:szCs w:val="21"/>
              </w:rPr>
              <w:t>弱电实验配备3号弱电护套线；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412" w:type="pct"/>
            <w:vMerge w:val="continue"/>
            <w:vAlign w:val="center"/>
          </w:tcPr>
          <w:p>
            <w:pPr>
              <w:jc w:val="center"/>
              <w:rPr>
                <w:szCs w:val="21"/>
              </w:rPr>
            </w:pPr>
          </w:p>
        </w:tc>
        <w:tc>
          <w:tcPr>
            <w:tcW w:w="491" w:type="pct"/>
            <w:vMerge w:val="continue"/>
            <w:vAlign w:val="center"/>
          </w:tcPr>
          <w:p>
            <w:pPr>
              <w:jc w:val="center"/>
              <w:rPr>
                <w:szCs w:val="21"/>
              </w:rPr>
            </w:pPr>
          </w:p>
        </w:tc>
        <w:tc>
          <w:tcPr>
            <w:tcW w:w="4097" w:type="pct"/>
            <w:vAlign w:val="center"/>
          </w:tcPr>
          <w:p>
            <w:pPr>
              <w:jc w:val="left"/>
              <w:rPr>
                <w:szCs w:val="21"/>
              </w:rPr>
            </w:pPr>
            <w:r>
              <w:rPr>
                <w:szCs w:val="21"/>
              </w:rPr>
              <w:t>电子实验配备2号数模电导线；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412" w:type="pct"/>
            <w:vMerge w:val="continue"/>
            <w:vAlign w:val="center"/>
          </w:tcPr>
          <w:p>
            <w:pPr>
              <w:jc w:val="center"/>
              <w:rPr>
                <w:szCs w:val="21"/>
              </w:rPr>
            </w:pPr>
          </w:p>
        </w:tc>
        <w:tc>
          <w:tcPr>
            <w:tcW w:w="491" w:type="pct"/>
            <w:vMerge w:val="continue"/>
            <w:vAlign w:val="center"/>
          </w:tcPr>
          <w:p>
            <w:pPr>
              <w:jc w:val="center"/>
              <w:rPr>
                <w:szCs w:val="21"/>
              </w:rPr>
            </w:pPr>
          </w:p>
        </w:tc>
        <w:tc>
          <w:tcPr>
            <w:tcW w:w="4097" w:type="pct"/>
            <w:vAlign w:val="center"/>
          </w:tcPr>
          <w:p>
            <w:pPr>
              <w:jc w:val="left"/>
              <w:rPr>
                <w:szCs w:val="21"/>
              </w:rPr>
            </w:pPr>
            <w:r>
              <w:rPr>
                <w:szCs w:val="21"/>
              </w:rPr>
              <w:t>4号强电和3号弱电导线均采用高可靠护套结构手枪插连接线（不存在任何触电的可能）；两种导线都只能配合相应内孔的插座，不能混插，大大提高实验的安全及合理性。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412" w:type="pct"/>
            <w:vMerge w:val="continue"/>
            <w:vAlign w:val="center"/>
          </w:tcPr>
          <w:p>
            <w:pPr>
              <w:jc w:val="center"/>
              <w:rPr>
                <w:szCs w:val="21"/>
              </w:rPr>
            </w:pPr>
          </w:p>
        </w:tc>
        <w:tc>
          <w:tcPr>
            <w:tcW w:w="491" w:type="pct"/>
            <w:vMerge w:val="continue"/>
            <w:vAlign w:val="center"/>
          </w:tcPr>
          <w:p>
            <w:pPr>
              <w:jc w:val="center"/>
              <w:rPr>
                <w:szCs w:val="21"/>
              </w:rPr>
            </w:pPr>
          </w:p>
        </w:tc>
        <w:tc>
          <w:tcPr>
            <w:tcW w:w="4097" w:type="pct"/>
            <w:vAlign w:val="center"/>
          </w:tcPr>
          <w:p>
            <w:pPr>
              <w:jc w:val="left"/>
              <w:rPr>
                <w:szCs w:val="21"/>
              </w:rPr>
            </w:pPr>
            <w:r>
              <w:rPr>
                <w:szCs w:val="21"/>
              </w:rPr>
              <w:t>提供导线数量，应能满足完成要求的实验项目。4号强电护套导线不少于25根，3号弱电护套导线不少于30根，2号数模电导线不少于60根。</w:t>
            </w:r>
          </w:p>
        </w:tc>
      </w:tr>
    </w:tbl>
    <w:p>
      <w:pPr>
        <w:rPr>
          <w:rFonts w:cs="宋体" w:asciiTheme="minorEastAsia" w:hAnsiTheme="minorEastAsia" w:eastAsiaTheme="minorEastAsia"/>
          <w:sz w:val="28"/>
          <w:szCs w:val="28"/>
        </w:rPr>
      </w:pPr>
    </w:p>
    <w:p>
      <w:pPr>
        <w:ind w:firstLine="241" w:firstLineChars="100"/>
        <w:outlineLvl w:val="2"/>
        <w:rPr>
          <w:rFonts w:asciiTheme="minorEastAsia" w:hAnsiTheme="minorEastAsia" w:eastAsiaTheme="minorEastAsia"/>
          <w:b/>
          <w:bCs/>
          <w:sz w:val="24"/>
        </w:rPr>
      </w:pPr>
      <w:r>
        <w:rPr>
          <w:rFonts w:hint="eastAsia" w:cs="宋体" w:asciiTheme="minorEastAsia" w:hAnsiTheme="minorEastAsia" w:eastAsiaTheme="minorEastAsia"/>
          <w:b/>
          <w:bCs/>
          <w:sz w:val="24"/>
        </w:rPr>
        <w:t>（五）电工技能训练单元（含网孔板）</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837"/>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pPr>
              <w:spacing w:line="320" w:lineRule="exact"/>
              <w:jc w:val="center"/>
              <w:rPr>
                <w:rFonts w:eastAsiaTheme="minorEastAsia"/>
                <w:b/>
                <w:bCs/>
                <w:szCs w:val="21"/>
              </w:rPr>
            </w:pPr>
            <w:r>
              <w:rPr>
                <w:rFonts w:eastAsiaTheme="minorEastAsia"/>
                <w:b/>
                <w:bCs/>
                <w:szCs w:val="21"/>
              </w:rPr>
              <w:t>序号</w:t>
            </w:r>
          </w:p>
        </w:tc>
        <w:tc>
          <w:tcPr>
            <w:tcW w:w="491" w:type="pct"/>
            <w:vAlign w:val="center"/>
          </w:tcPr>
          <w:p>
            <w:pPr>
              <w:spacing w:line="320" w:lineRule="exact"/>
              <w:jc w:val="center"/>
              <w:rPr>
                <w:rFonts w:eastAsiaTheme="minorEastAsia"/>
                <w:b/>
                <w:bCs/>
                <w:szCs w:val="21"/>
              </w:rPr>
            </w:pPr>
            <w:r>
              <w:rPr>
                <w:rFonts w:eastAsiaTheme="minorEastAsia"/>
                <w:b/>
                <w:bCs/>
                <w:szCs w:val="21"/>
              </w:rPr>
              <w:t>名称</w:t>
            </w:r>
          </w:p>
        </w:tc>
        <w:tc>
          <w:tcPr>
            <w:tcW w:w="4097" w:type="pct"/>
            <w:vAlign w:val="center"/>
          </w:tcPr>
          <w:p>
            <w:pPr>
              <w:spacing w:line="320" w:lineRule="exact"/>
              <w:jc w:val="center"/>
              <w:rPr>
                <w:rFonts w:eastAsiaTheme="minorEastAsia"/>
                <w:b/>
                <w:bCs/>
                <w:szCs w:val="21"/>
              </w:rPr>
            </w:pPr>
            <w:r>
              <w:rPr>
                <w:rFonts w:eastAsiaTheme="minorEastAsia"/>
                <w:b/>
                <w:bCs/>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restart"/>
            <w:vAlign w:val="center"/>
          </w:tcPr>
          <w:p>
            <w:pPr>
              <w:spacing w:line="320" w:lineRule="exact"/>
              <w:jc w:val="center"/>
              <w:rPr>
                <w:rFonts w:eastAsiaTheme="minorEastAsia"/>
                <w:szCs w:val="21"/>
              </w:rPr>
            </w:pPr>
            <w:r>
              <w:rPr>
                <w:rFonts w:eastAsiaTheme="minorEastAsia"/>
                <w:szCs w:val="21"/>
              </w:rPr>
              <w:t>1</w:t>
            </w:r>
          </w:p>
        </w:tc>
        <w:tc>
          <w:tcPr>
            <w:tcW w:w="491" w:type="pct"/>
            <w:vMerge w:val="restart"/>
            <w:vAlign w:val="center"/>
          </w:tcPr>
          <w:p>
            <w:pPr>
              <w:spacing w:line="320" w:lineRule="exact"/>
              <w:jc w:val="center"/>
              <w:rPr>
                <w:rFonts w:eastAsiaTheme="minorEastAsia"/>
                <w:szCs w:val="21"/>
              </w:rPr>
            </w:pPr>
            <w:r>
              <w:rPr>
                <w:rFonts w:eastAsiaTheme="minorEastAsia"/>
                <w:szCs w:val="21"/>
              </w:rPr>
              <w:t>技术性能要求</w:t>
            </w:r>
          </w:p>
        </w:tc>
        <w:tc>
          <w:tcPr>
            <w:tcW w:w="4097" w:type="pct"/>
            <w:vAlign w:val="center"/>
          </w:tcPr>
          <w:p>
            <w:pPr>
              <w:spacing w:line="320" w:lineRule="exact"/>
              <w:jc w:val="left"/>
              <w:rPr>
                <w:rFonts w:eastAsiaTheme="minorEastAsia"/>
                <w:szCs w:val="21"/>
              </w:rPr>
            </w:pPr>
            <w:r>
              <w:rPr>
                <w:rFonts w:eastAsiaTheme="minorEastAsia"/>
                <w:szCs w:val="21"/>
              </w:rPr>
              <w:t>要求能够完成电工安全技能训练、电工继电控制技能基础训练和电工技能综合训练项目；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continue"/>
            <w:vAlign w:val="center"/>
          </w:tcPr>
          <w:p>
            <w:pPr>
              <w:spacing w:line="320" w:lineRule="exact"/>
              <w:jc w:val="center"/>
              <w:rPr>
                <w:rFonts w:eastAsiaTheme="minorEastAsia"/>
                <w:szCs w:val="21"/>
              </w:rPr>
            </w:pPr>
          </w:p>
        </w:tc>
        <w:tc>
          <w:tcPr>
            <w:tcW w:w="491" w:type="pct"/>
            <w:vMerge w:val="continue"/>
            <w:vAlign w:val="center"/>
          </w:tcPr>
          <w:p>
            <w:pPr>
              <w:spacing w:line="320" w:lineRule="exact"/>
              <w:jc w:val="center"/>
              <w:rPr>
                <w:rFonts w:eastAsiaTheme="minorEastAsia"/>
                <w:szCs w:val="21"/>
              </w:rPr>
            </w:pPr>
          </w:p>
        </w:tc>
        <w:tc>
          <w:tcPr>
            <w:tcW w:w="4097" w:type="pct"/>
            <w:vAlign w:val="center"/>
          </w:tcPr>
          <w:p>
            <w:pPr>
              <w:spacing w:line="320" w:lineRule="exact"/>
              <w:jc w:val="left"/>
              <w:rPr>
                <w:rFonts w:eastAsiaTheme="minorEastAsia"/>
                <w:szCs w:val="21"/>
              </w:rPr>
            </w:pPr>
            <w:r>
              <w:rPr>
                <w:rFonts w:eastAsiaTheme="minorEastAsia"/>
                <w:szCs w:val="21"/>
              </w:rPr>
              <w:t>要求技能训练在网孔板上完成；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continue"/>
            <w:vAlign w:val="center"/>
          </w:tcPr>
          <w:p>
            <w:pPr>
              <w:spacing w:line="320" w:lineRule="exact"/>
              <w:jc w:val="center"/>
              <w:rPr>
                <w:rFonts w:eastAsiaTheme="minorEastAsia"/>
                <w:szCs w:val="21"/>
              </w:rPr>
            </w:pPr>
          </w:p>
        </w:tc>
        <w:tc>
          <w:tcPr>
            <w:tcW w:w="491" w:type="pct"/>
            <w:vMerge w:val="continue"/>
            <w:vAlign w:val="center"/>
          </w:tcPr>
          <w:p>
            <w:pPr>
              <w:spacing w:line="320" w:lineRule="exact"/>
              <w:jc w:val="center"/>
              <w:rPr>
                <w:rFonts w:eastAsiaTheme="minorEastAsia"/>
                <w:szCs w:val="21"/>
              </w:rPr>
            </w:pPr>
          </w:p>
        </w:tc>
        <w:tc>
          <w:tcPr>
            <w:tcW w:w="4097" w:type="pct"/>
            <w:vAlign w:val="center"/>
          </w:tcPr>
          <w:p>
            <w:pPr>
              <w:spacing w:line="320" w:lineRule="exact"/>
              <w:jc w:val="left"/>
              <w:rPr>
                <w:rFonts w:eastAsiaTheme="minorEastAsia"/>
                <w:szCs w:val="21"/>
              </w:rPr>
            </w:pPr>
            <w:r>
              <w:rPr>
                <w:rFonts w:eastAsiaTheme="minorEastAsia"/>
                <w:szCs w:val="21"/>
              </w:rPr>
              <w:t>要求提供完成训练的元器件、导线、螺丝和工具等；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continue"/>
            <w:vAlign w:val="center"/>
          </w:tcPr>
          <w:p>
            <w:pPr>
              <w:spacing w:line="320" w:lineRule="exact"/>
              <w:jc w:val="center"/>
              <w:rPr>
                <w:rFonts w:eastAsiaTheme="minorEastAsia"/>
                <w:szCs w:val="21"/>
              </w:rPr>
            </w:pPr>
          </w:p>
        </w:tc>
        <w:tc>
          <w:tcPr>
            <w:tcW w:w="491" w:type="pct"/>
            <w:vMerge w:val="continue"/>
            <w:vAlign w:val="center"/>
          </w:tcPr>
          <w:p>
            <w:pPr>
              <w:spacing w:line="320" w:lineRule="exact"/>
              <w:jc w:val="center"/>
              <w:rPr>
                <w:rFonts w:eastAsiaTheme="minorEastAsia"/>
                <w:szCs w:val="21"/>
              </w:rPr>
            </w:pPr>
          </w:p>
        </w:tc>
        <w:tc>
          <w:tcPr>
            <w:tcW w:w="4097" w:type="pct"/>
            <w:vAlign w:val="center"/>
          </w:tcPr>
          <w:p>
            <w:pPr>
              <w:spacing w:line="320" w:lineRule="exact"/>
              <w:jc w:val="left"/>
              <w:rPr>
                <w:rFonts w:eastAsiaTheme="minorEastAsia"/>
                <w:szCs w:val="21"/>
              </w:rPr>
            </w:pPr>
            <w:r>
              <w:rPr>
                <w:rFonts w:eastAsiaTheme="minorEastAsia"/>
                <w:szCs w:val="21"/>
              </w:rPr>
              <w:t>要求电工技能训练单元能够配套实验平台完成技能训练项目；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continue"/>
            <w:vAlign w:val="center"/>
          </w:tcPr>
          <w:p>
            <w:pPr>
              <w:spacing w:line="320" w:lineRule="exact"/>
              <w:jc w:val="center"/>
              <w:rPr>
                <w:rFonts w:eastAsiaTheme="minorEastAsia"/>
                <w:szCs w:val="21"/>
              </w:rPr>
            </w:pPr>
          </w:p>
        </w:tc>
        <w:tc>
          <w:tcPr>
            <w:tcW w:w="491" w:type="pct"/>
            <w:vMerge w:val="continue"/>
            <w:vAlign w:val="center"/>
          </w:tcPr>
          <w:p>
            <w:pPr>
              <w:spacing w:line="320" w:lineRule="exact"/>
              <w:jc w:val="center"/>
              <w:rPr>
                <w:rFonts w:eastAsiaTheme="minorEastAsia"/>
                <w:szCs w:val="21"/>
              </w:rPr>
            </w:pPr>
          </w:p>
        </w:tc>
        <w:tc>
          <w:tcPr>
            <w:tcW w:w="4097" w:type="pct"/>
            <w:vAlign w:val="center"/>
          </w:tcPr>
          <w:p>
            <w:pPr>
              <w:spacing w:line="320" w:lineRule="exact"/>
              <w:jc w:val="left"/>
              <w:rPr>
                <w:rFonts w:eastAsiaTheme="minorEastAsia"/>
                <w:szCs w:val="21"/>
              </w:rPr>
            </w:pPr>
            <w:r>
              <w:rPr>
                <w:rFonts w:eastAsiaTheme="minorEastAsia"/>
                <w:szCs w:val="21"/>
              </w:rPr>
              <w:t>要求网孔板能够平放在实验台桌面上完成技能训练。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restart"/>
            <w:vAlign w:val="center"/>
          </w:tcPr>
          <w:p>
            <w:pPr>
              <w:spacing w:line="320" w:lineRule="exact"/>
              <w:jc w:val="center"/>
              <w:rPr>
                <w:rFonts w:eastAsiaTheme="minorEastAsia"/>
                <w:szCs w:val="21"/>
              </w:rPr>
            </w:pPr>
            <w:r>
              <w:rPr>
                <w:rFonts w:eastAsiaTheme="minorEastAsia"/>
                <w:szCs w:val="21"/>
              </w:rPr>
              <w:t>2</w:t>
            </w:r>
          </w:p>
        </w:tc>
        <w:tc>
          <w:tcPr>
            <w:tcW w:w="491" w:type="pct"/>
            <w:vMerge w:val="restart"/>
            <w:vAlign w:val="center"/>
          </w:tcPr>
          <w:p>
            <w:pPr>
              <w:spacing w:line="320" w:lineRule="exact"/>
              <w:jc w:val="center"/>
              <w:rPr>
                <w:rFonts w:eastAsiaTheme="minorEastAsia"/>
                <w:szCs w:val="21"/>
              </w:rPr>
            </w:pPr>
            <w:r>
              <w:rPr>
                <w:rFonts w:eastAsiaTheme="minorEastAsia"/>
                <w:szCs w:val="21"/>
              </w:rPr>
              <w:t>网孔板</w:t>
            </w:r>
          </w:p>
        </w:tc>
        <w:tc>
          <w:tcPr>
            <w:tcW w:w="4097" w:type="pct"/>
            <w:vAlign w:val="center"/>
          </w:tcPr>
          <w:p>
            <w:pPr>
              <w:spacing w:line="320" w:lineRule="exact"/>
              <w:jc w:val="left"/>
              <w:rPr>
                <w:rFonts w:eastAsiaTheme="minorEastAsia"/>
                <w:szCs w:val="21"/>
              </w:rPr>
            </w:pPr>
            <w:r>
              <w:rPr>
                <w:rFonts w:eastAsiaTheme="minorEastAsia"/>
                <w:szCs w:val="21"/>
              </w:rPr>
              <w:t>数量：2块；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continue"/>
            <w:vAlign w:val="center"/>
          </w:tcPr>
          <w:p>
            <w:pPr>
              <w:spacing w:line="320" w:lineRule="exact"/>
              <w:jc w:val="center"/>
              <w:rPr>
                <w:rFonts w:eastAsiaTheme="minorEastAsia"/>
                <w:szCs w:val="21"/>
              </w:rPr>
            </w:pPr>
          </w:p>
        </w:tc>
        <w:tc>
          <w:tcPr>
            <w:tcW w:w="491" w:type="pct"/>
            <w:vMerge w:val="continue"/>
            <w:vAlign w:val="center"/>
          </w:tcPr>
          <w:p>
            <w:pPr>
              <w:spacing w:line="320" w:lineRule="exact"/>
              <w:jc w:val="center"/>
              <w:rPr>
                <w:rFonts w:eastAsiaTheme="minorEastAsia"/>
                <w:szCs w:val="21"/>
              </w:rPr>
            </w:pPr>
          </w:p>
        </w:tc>
        <w:tc>
          <w:tcPr>
            <w:tcW w:w="4097" w:type="pct"/>
            <w:vAlign w:val="center"/>
          </w:tcPr>
          <w:p>
            <w:pPr>
              <w:spacing w:line="320" w:lineRule="exact"/>
              <w:jc w:val="left"/>
              <w:rPr>
                <w:rFonts w:eastAsiaTheme="minorEastAsia"/>
                <w:szCs w:val="21"/>
              </w:rPr>
            </w:pPr>
            <w:r>
              <w:rPr>
                <w:rFonts w:eastAsiaTheme="minorEastAsia"/>
                <w:szCs w:val="21"/>
              </w:rPr>
              <w:t>要求网孔板左右两侧安装不锈钢手柄；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continue"/>
            <w:vAlign w:val="center"/>
          </w:tcPr>
          <w:p>
            <w:pPr>
              <w:spacing w:line="320" w:lineRule="exact"/>
              <w:jc w:val="center"/>
              <w:rPr>
                <w:rFonts w:eastAsiaTheme="minorEastAsia"/>
                <w:szCs w:val="21"/>
              </w:rPr>
            </w:pPr>
          </w:p>
        </w:tc>
        <w:tc>
          <w:tcPr>
            <w:tcW w:w="491" w:type="pct"/>
            <w:vMerge w:val="continue"/>
            <w:vAlign w:val="center"/>
          </w:tcPr>
          <w:p>
            <w:pPr>
              <w:spacing w:line="320" w:lineRule="exact"/>
              <w:jc w:val="center"/>
              <w:rPr>
                <w:rFonts w:eastAsiaTheme="minorEastAsia"/>
                <w:szCs w:val="21"/>
              </w:rPr>
            </w:pPr>
          </w:p>
        </w:tc>
        <w:tc>
          <w:tcPr>
            <w:tcW w:w="4097" w:type="pct"/>
            <w:vAlign w:val="center"/>
          </w:tcPr>
          <w:p>
            <w:pPr>
              <w:spacing w:line="320" w:lineRule="exact"/>
              <w:jc w:val="left"/>
              <w:rPr>
                <w:rFonts w:eastAsiaTheme="minorEastAsia"/>
                <w:szCs w:val="21"/>
              </w:rPr>
            </w:pPr>
            <w:r>
              <w:rPr>
                <w:rFonts w:eastAsiaTheme="minorEastAsia"/>
                <w:szCs w:val="21"/>
              </w:rPr>
              <w:t>要求网孔板底部带底脚，方便技能训练。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restart"/>
            <w:vAlign w:val="center"/>
          </w:tcPr>
          <w:p>
            <w:pPr>
              <w:spacing w:line="320" w:lineRule="exact"/>
              <w:jc w:val="center"/>
              <w:rPr>
                <w:rFonts w:eastAsiaTheme="minorEastAsia"/>
                <w:szCs w:val="21"/>
              </w:rPr>
            </w:pPr>
            <w:r>
              <w:rPr>
                <w:rFonts w:eastAsiaTheme="minorEastAsia"/>
                <w:szCs w:val="21"/>
              </w:rPr>
              <w:t>3</w:t>
            </w:r>
          </w:p>
          <w:p>
            <w:pPr>
              <w:spacing w:line="320" w:lineRule="exact"/>
              <w:jc w:val="center"/>
              <w:rPr>
                <w:rFonts w:eastAsiaTheme="minorEastAsia"/>
                <w:szCs w:val="21"/>
              </w:rPr>
            </w:pPr>
          </w:p>
        </w:tc>
        <w:tc>
          <w:tcPr>
            <w:tcW w:w="491" w:type="pct"/>
            <w:vMerge w:val="restart"/>
            <w:vAlign w:val="center"/>
          </w:tcPr>
          <w:p>
            <w:pPr>
              <w:spacing w:line="320" w:lineRule="exact"/>
              <w:jc w:val="center"/>
              <w:rPr>
                <w:rFonts w:eastAsiaTheme="minorEastAsia"/>
                <w:szCs w:val="21"/>
              </w:rPr>
            </w:pPr>
            <w:r>
              <w:rPr>
                <w:rFonts w:eastAsiaTheme="minorEastAsia"/>
                <w:szCs w:val="21"/>
              </w:rPr>
              <w:t>电工技能训练器件</w:t>
            </w:r>
          </w:p>
        </w:tc>
        <w:tc>
          <w:tcPr>
            <w:tcW w:w="4097" w:type="pct"/>
            <w:vAlign w:val="center"/>
          </w:tcPr>
          <w:p>
            <w:pPr>
              <w:spacing w:line="320" w:lineRule="exact"/>
              <w:jc w:val="left"/>
              <w:rPr>
                <w:rFonts w:eastAsiaTheme="minorEastAsia"/>
                <w:szCs w:val="21"/>
              </w:rPr>
            </w:pPr>
            <w:r>
              <w:rPr>
                <w:rFonts w:eastAsiaTheme="minorEastAsia"/>
                <w:szCs w:val="21"/>
              </w:rPr>
              <w:t>单相电度表</w:t>
            </w:r>
            <w:r>
              <w:rPr>
                <w:rFonts w:eastAsiaTheme="minorEastAsia"/>
                <w:szCs w:val="21"/>
              </w:rPr>
              <w:tab/>
            </w:r>
            <w:r>
              <w:rPr>
                <w:rFonts w:eastAsiaTheme="minorEastAsia"/>
                <w:szCs w:val="21"/>
              </w:rPr>
              <w:t xml:space="preserve"> 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continue"/>
            <w:vAlign w:val="center"/>
          </w:tcPr>
          <w:p>
            <w:pPr>
              <w:spacing w:line="320" w:lineRule="exact"/>
              <w:jc w:val="center"/>
              <w:rPr>
                <w:rFonts w:eastAsiaTheme="minorEastAsia"/>
                <w:szCs w:val="21"/>
              </w:rPr>
            </w:pPr>
          </w:p>
        </w:tc>
        <w:tc>
          <w:tcPr>
            <w:tcW w:w="491" w:type="pct"/>
            <w:vMerge w:val="continue"/>
            <w:vAlign w:val="center"/>
          </w:tcPr>
          <w:p>
            <w:pPr>
              <w:spacing w:line="320" w:lineRule="exact"/>
              <w:jc w:val="center"/>
              <w:rPr>
                <w:rFonts w:eastAsiaTheme="minorEastAsia"/>
                <w:szCs w:val="21"/>
              </w:rPr>
            </w:pPr>
          </w:p>
        </w:tc>
        <w:tc>
          <w:tcPr>
            <w:tcW w:w="4097" w:type="pct"/>
            <w:vAlign w:val="center"/>
          </w:tcPr>
          <w:p>
            <w:pPr>
              <w:spacing w:line="320" w:lineRule="exact"/>
              <w:jc w:val="left"/>
              <w:rPr>
                <w:rFonts w:eastAsiaTheme="minorEastAsia"/>
                <w:szCs w:val="21"/>
              </w:rPr>
            </w:pPr>
            <w:r>
              <w:rPr>
                <w:rFonts w:eastAsiaTheme="minorEastAsia"/>
                <w:szCs w:val="21"/>
              </w:rPr>
              <w:t>螺口灯座</w:t>
            </w:r>
            <w:r>
              <w:rPr>
                <w:rFonts w:eastAsiaTheme="minorEastAsia"/>
                <w:szCs w:val="21"/>
              </w:rPr>
              <w:tab/>
            </w:r>
            <w:r>
              <w:rPr>
                <w:rFonts w:eastAsiaTheme="minorEastAsia"/>
                <w:szCs w:val="21"/>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continue"/>
            <w:vAlign w:val="center"/>
          </w:tcPr>
          <w:p>
            <w:pPr>
              <w:spacing w:line="320" w:lineRule="exact"/>
              <w:jc w:val="center"/>
              <w:rPr>
                <w:rFonts w:eastAsiaTheme="minorEastAsia"/>
                <w:szCs w:val="21"/>
              </w:rPr>
            </w:pPr>
          </w:p>
        </w:tc>
        <w:tc>
          <w:tcPr>
            <w:tcW w:w="491" w:type="pct"/>
            <w:vMerge w:val="continue"/>
            <w:vAlign w:val="center"/>
          </w:tcPr>
          <w:p>
            <w:pPr>
              <w:spacing w:line="320" w:lineRule="exact"/>
              <w:jc w:val="center"/>
              <w:rPr>
                <w:rFonts w:eastAsiaTheme="minorEastAsia"/>
                <w:szCs w:val="21"/>
              </w:rPr>
            </w:pPr>
          </w:p>
        </w:tc>
        <w:tc>
          <w:tcPr>
            <w:tcW w:w="4097" w:type="pct"/>
            <w:vAlign w:val="center"/>
          </w:tcPr>
          <w:p>
            <w:pPr>
              <w:spacing w:line="320" w:lineRule="exact"/>
              <w:jc w:val="left"/>
              <w:rPr>
                <w:rFonts w:eastAsiaTheme="minorEastAsia"/>
                <w:szCs w:val="21"/>
              </w:rPr>
            </w:pPr>
            <w:r>
              <w:rPr>
                <w:rFonts w:eastAsiaTheme="minorEastAsia"/>
                <w:szCs w:val="21"/>
              </w:rPr>
              <w:t>灯泡</w:t>
            </w:r>
            <w:r>
              <w:rPr>
                <w:rFonts w:eastAsiaTheme="minorEastAsia"/>
                <w:szCs w:val="21"/>
              </w:rPr>
              <w:tab/>
            </w:r>
            <w:r>
              <w:rPr>
                <w:rFonts w:eastAsiaTheme="minorEastAsia"/>
                <w:szCs w:val="21"/>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continue"/>
            <w:vAlign w:val="center"/>
          </w:tcPr>
          <w:p>
            <w:pPr>
              <w:spacing w:line="320" w:lineRule="exact"/>
              <w:jc w:val="center"/>
              <w:rPr>
                <w:rFonts w:eastAsiaTheme="minorEastAsia"/>
                <w:szCs w:val="21"/>
              </w:rPr>
            </w:pPr>
          </w:p>
        </w:tc>
        <w:tc>
          <w:tcPr>
            <w:tcW w:w="491" w:type="pct"/>
            <w:vMerge w:val="continue"/>
            <w:vAlign w:val="center"/>
          </w:tcPr>
          <w:p>
            <w:pPr>
              <w:spacing w:line="320" w:lineRule="exact"/>
              <w:jc w:val="center"/>
              <w:rPr>
                <w:rFonts w:eastAsiaTheme="minorEastAsia"/>
                <w:szCs w:val="21"/>
              </w:rPr>
            </w:pPr>
          </w:p>
        </w:tc>
        <w:tc>
          <w:tcPr>
            <w:tcW w:w="4097" w:type="pct"/>
            <w:vAlign w:val="center"/>
          </w:tcPr>
          <w:p>
            <w:pPr>
              <w:spacing w:line="320" w:lineRule="exact"/>
              <w:jc w:val="left"/>
              <w:rPr>
                <w:rFonts w:eastAsiaTheme="minorEastAsia"/>
                <w:szCs w:val="21"/>
              </w:rPr>
            </w:pPr>
            <w:r>
              <w:rPr>
                <w:rFonts w:eastAsiaTheme="minorEastAsia"/>
                <w:szCs w:val="21"/>
              </w:rPr>
              <w:t>单联开关</w:t>
            </w:r>
            <w:r>
              <w:rPr>
                <w:rFonts w:eastAsiaTheme="minorEastAsia"/>
                <w:szCs w:val="21"/>
              </w:rPr>
              <w:tab/>
            </w:r>
            <w:r>
              <w:rPr>
                <w:rFonts w:eastAsiaTheme="minorEastAsia"/>
                <w:szCs w:val="21"/>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continue"/>
            <w:vAlign w:val="center"/>
          </w:tcPr>
          <w:p>
            <w:pPr>
              <w:spacing w:line="320" w:lineRule="exact"/>
              <w:jc w:val="center"/>
              <w:rPr>
                <w:rFonts w:eastAsiaTheme="minorEastAsia"/>
                <w:szCs w:val="21"/>
              </w:rPr>
            </w:pPr>
          </w:p>
        </w:tc>
        <w:tc>
          <w:tcPr>
            <w:tcW w:w="491" w:type="pct"/>
            <w:vMerge w:val="continue"/>
            <w:vAlign w:val="center"/>
          </w:tcPr>
          <w:p>
            <w:pPr>
              <w:spacing w:line="320" w:lineRule="exact"/>
              <w:jc w:val="center"/>
              <w:rPr>
                <w:rFonts w:eastAsiaTheme="minorEastAsia"/>
                <w:szCs w:val="21"/>
              </w:rPr>
            </w:pPr>
          </w:p>
        </w:tc>
        <w:tc>
          <w:tcPr>
            <w:tcW w:w="4097" w:type="pct"/>
            <w:vAlign w:val="center"/>
          </w:tcPr>
          <w:p>
            <w:pPr>
              <w:spacing w:line="320" w:lineRule="exact"/>
              <w:jc w:val="left"/>
              <w:rPr>
                <w:rFonts w:eastAsiaTheme="minorEastAsia"/>
                <w:szCs w:val="21"/>
              </w:rPr>
            </w:pPr>
            <w:r>
              <w:rPr>
                <w:rFonts w:eastAsiaTheme="minorEastAsia"/>
                <w:szCs w:val="21"/>
              </w:rPr>
              <w:t>双控开关</w:t>
            </w:r>
            <w:r>
              <w:rPr>
                <w:rFonts w:eastAsiaTheme="minorEastAsia"/>
                <w:szCs w:val="21"/>
              </w:rPr>
              <w:tab/>
            </w:r>
            <w:r>
              <w:rPr>
                <w:rFonts w:eastAsiaTheme="minorEastAsia"/>
                <w:szCs w:val="21"/>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continue"/>
            <w:vAlign w:val="center"/>
          </w:tcPr>
          <w:p>
            <w:pPr>
              <w:spacing w:line="320" w:lineRule="exact"/>
              <w:jc w:val="center"/>
              <w:rPr>
                <w:rFonts w:eastAsiaTheme="minorEastAsia"/>
                <w:szCs w:val="21"/>
              </w:rPr>
            </w:pPr>
          </w:p>
        </w:tc>
        <w:tc>
          <w:tcPr>
            <w:tcW w:w="491" w:type="pct"/>
            <w:vMerge w:val="continue"/>
            <w:vAlign w:val="center"/>
          </w:tcPr>
          <w:p>
            <w:pPr>
              <w:spacing w:line="320" w:lineRule="exact"/>
              <w:jc w:val="center"/>
              <w:rPr>
                <w:rFonts w:eastAsiaTheme="minorEastAsia"/>
                <w:szCs w:val="21"/>
              </w:rPr>
            </w:pPr>
          </w:p>
        </w:tc>
        <w:tc>
          <w:tcPr>
            <w:tcW w:w="4097" w:type="pct"/>
            <w:vAlign w:val="center"/>
          </w:tcPr>
          <w:p>
            <w:pPr>
              <w:spacing w:line="320" w:lineRule="exact"/>
              <w:jc w:val="left"/>
              <w:rPr>
                <w:rFonts w:eastAsiaTheme="minorEastAsia"/>
                <w:szCs w:val="21"/>
              </w:rPr>
            </w:pPr>
            <w:r>
              <w:rPr>
                <w:rFonts w:eastAsiaTheme="minorEastAsia"/>
                <w:szCs w:val="21"/>
              </w:rPr>
              <w:t>声（光）控延时开关1只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continue"/>
            <w:vAlign w:val="center"/>
          </w:tcPr>
          <w:p>
            <w:pPr>
              <w:spacing w:line="320" w:lineRule="exact"/>
              <w:jc w:val="center"/>
              <w:rPr>
                <w:rFonts w:eastAsiaTheme="minorEastAsia"/>
                <w:szCs w:val="21"/>
              </w:rPr>
            </w:pPr>
          </w:p>
        </w:tc>
        <w:tc>
          <w:tcPr>
            <w:tcW w:w="491" w:type="pct"/>
            <w:vMerge w:val="continue"/>
            <w:vAlign w:val="center"/>
          </w:tcPr>
          <w:p>
            <w:pPr>
              <w:spacing w:line="320" w:lineRule="exact"/>
              <w:jc w:val="center"/>
              <w:rPr>
                <w:rFonts w:eastAsiaTheme="minorEastAsia"/>
                <w:szCs w:val="21"/>
              </w:rPr>
            </w:pPr>
          </w:p>
        </w:tc>
        <w:tc>
          <w:tcPr>
            <w:tcW w:w="4097" w:type="pct"/>
            <w:vAlign w:val="center"/>
          </w:tcPr>
          <w:p>
            <w:pPr>
              <w:spacing w:line="320" w:lineRule="exact"/>
              <w:jc w:val="left"/>
              <w:rPr>
                <w:rFonts w:eastAsiaTheme="minorEastAsia"/>
                <w:szCs w:val="21"/>
              </w:rPr>
            </w:pPr>
            <w:r>
              <w:rPr>
                <w:rFonts w:eastAsiaTheme="minorEastAsia"/>
                <w:szCs w:val="21"/>
              </w:rPr>
              <w:t>低压断路器</w:t>
            </w:r>
            <w:r>
              <w:rPr>
                <w:rFonts w:eastAsiaTheme="minorEastAsia"/>
                <w:szCs w:val="21"/>
              </w:rPr>
              <w:tab/>
            </w:r>
            <w:r>
              <w:rPr>
                <w:rFonts w:eastAsiaTheme="minorEastAsia"/>
                <w:szCs w:val="21"/>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continue"/>
            <w:vAlign w:val="center"/>
          </w:tcPr>
          <w:p>
            <w:pPr>
              <w:spacing w:line="320" w:lineRule="exact"/>
              <w:jc w:val="center"/>
              <w:rPr>
                <w:rFonts w:eastAsiaTheme="minorEastAsia"/>
                <w:szCs w:val="21"/>
              </w:rPr>
            </w:pPr>
          </w:p>
        </w:tc>
        <w:tc>
          <w:tcPr>
            <w:tcW w:w="491" w:type="pct"/>
            <w:vMerge w:val="continue"/>
            <w:vAlign w:val="center"/>
          </w:tcPr>
          <w:p>
            <w:pPr>
              <w:spacing w:line="320" w:lineRule="exact"/>
              <w:jc w:val="center"/>
              <w:rPr>
                <w:rFonts w:eastAsiaTheme="minorEastAsia"/>
                <w:szCs w:val="21"/>
              </w:rPr>
            </w:pPr>
          </w:p>
        </w:tc>
        <w:tc>
          <w:tcPr>
            <w:tcW w:w="4097" w:type="pct"/>
            <w:vAlign w:val="center"/>
          </w:tcPr>
          <w:p>
            <w:pPr>
              <w:spacing w:line="320" w:lineRule="exact"/>
              <w:jc w:val="left"/>
              <w:rPr>
                <w:rFonts w:eastAsiaTheme="minorEastAsia"/>
                <w:szCs w:val="21"/>
              </w:rPr>
            </w:pPr>
            <w:r>
              <w:rPr>
                <w:rFonts w:eastAsiaTheme="minorEastAsia"/>
                <w:szCs w:val="21"/>
              </w:rPr>
              <w:t>保险丝座</w:t>
            </w:r>
            <w:r>
              <w:rPr>
                <w:rFonts w:eastAsiaTheme="minorEastAsia"/>
                <w:szCs w:val="21"/>
              </w:rPr>
              <w:tab/>
            </w:r>
            <w:r>
              <w:rPr>
                <w:rFonts w:eastAsiaTheme="minorEastAsia"/>
                <w:szCs w:val="21"/>
              </w:rPr>
              <w:t>3P 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continue"/>
            <w:vAlign w:val="center"/>
          </w:tcPr>
          <w:p>
            <w:pPr>
              <w:spacing w:line="320" w:lineRule="exact"/>
              <w:jc w:val="center"/>
              <w:rPr>
                <w:rFonts w:eastAsiaTheme="minorEastAsia"/>
                <w:szCs w:val="21"/>
              </w:rPr>
            </w:pPr>
          </w:p>
        </w:tc>
        <w:tc>
          <w:tcPr>
            <w:tcW w:w="491" w:type="pct"/>
            <w:vMerge w:val="continue"/>
            <w:vAlign w:val="center"/>
          </w:tcPr>
          <w:p>
            <w:pPr>
              <w:spacing w:line="320" w:lineRule="exact"/>
              <w:jc w:val="center"/>
              <w:rPr>
                <w:rFonts w:eastAsiaTheme="minorEastAsia"/>
                <w:szCs w:val="21"/>
              </w:rPr>
            </w:pPr>
          </w:p>
        </w:tc>
        <w:tc>
          <w:tcPr>
            <w:tcW w:w="4097" w:type="pct"/>
            <w:vAlign w:val="center"/>
          </w:tcPr>
          <w:p>
            <w:pPr>
              <w:spacing w:line="320" w:lineRule="exact"/>
              <w:jc w:val="left"/>
              <w:rPr>
                <w:rFonts w:eastAsiaTheme="minorEastAsia"/>
                <w:szCs w:val="21"/>
              </w:rPr>
            </w:pPr>
            <w:r>
              <w:rPr>
                <w:rFonts w:eastAsiaTheme="minorEastAsia"/>
                <w:szCs w:val="21"/>
              </w:rPr>
              <w:t>熔断器</w:t>
            </w:r>
            <w:r>
              <w:rPr>
                <w:rFonts w:eastAsiaTheme="minorEastAsia"/>
                <w:szCs w:val="21"/>
              </w:rPr>
              <w:tab/>
            </w:r>
            <w:r>
              <w:rPr>
                <w:rFonts w:eastAsiaTheme="minorEastAsia"/>
                <w:szCs w:val="21"/>
              </w:rPr>
              <w:t>3A</w:t>
            </w:r>
            <w:r>
              <w:rPr>
                <w:rFonts w:eastAsiaTheme="minorEastAsia"/>
                <w:szCs w:val="21"/>
              </w:rPr>
              <w:tab/>
            </w:r>
            <w:r>
              <w:rPr>
                <w:rFonts w:eastAsiaTheme="minorEastAsia"/>
                <w:szCs w:val="21"/>
              </w:rPr>
              <w:t xml:space="preserve"> 3只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continue"/>
            <w:vAlign w:val="center"/>
          </w:tcPr>
          <w:p>
            <w:pPr>
              <w:spacing w:line="320" w:lineRule="exact"/>
              <w:jc w:val="center"/>
              <w:rPr>
                <w:rFonts w:eastAsiaTheme="minorEastAsia"/>
                <w:szCs w:val="21"/>
              </w:rPr>
            </w:pPr>
          </w:p>
        </w:tc>
        <w:tc>
          <w:tcPr>
            <w:tcW w:w="491" w:type="pct"/>
            <w:vMerge w:val="continue"/>
            <w:vAlign w:val="center"/>
          </w:tcPr>
          <w:p>
            <w:pPr>
              <w:spacing w:line="320" w:lineRule="exact"/>
              <w:jc w:val="center"/>
              <w:rPr>
                <w:rFonts w:eastAsiaTheme="minorEastAsia"/>
                <w:szCs w:val="21"/>
              </w:rPr>
            </w:pPr>
          </w:p>
        </w:tc>
        <w:tc>
          <w:tcPr>
            <w:tcW w:w="4097" w:type="pct"/>
            <w:vAlign w:val="center"/>
          </w:tcPr>
          <w:p>
            <w:pPr>
              <w:spacing w:line="320" w:lineRule="exact"/>
              <w:jc w:val="left"/>
              <w:rPr>
                <w:rFonts w:eastAsiaTheme="minorEastAsia"/>
                <w:szCs w:val="21"/>
              </w:rPr>
            </w:pPr>
            <w:r>
              <w:rPr>
                <w:rFonts w:eastAsiaTheme="minorEastAsia"/>
                <w:szCs w:val="21"/>
              </w:rPr>
              <w:t>熔断器</w:t>
            </w:r>
            <w:r>
              <w:rPr>
                <w:rFonts w:eastAsiaTheme="minorEastAsia"/>
                <w:szCs w:val="21"/>
              </w:rPr>
              <w:tab/>
            </w:r>
            <w:r>
              <w:rPr>
                <w:rFonts w:eastAsiaTheme="minorEastAsia"/>
                <w:szCs w:val="21"/>
              </w:rPr>
              <w:t>2A 3只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continue"/>
            <w:vAlign w:val="center"/>
          </w:tcPr>
          <w:p>
            <w:pPr>
              <w:spacing w:line="320" w:lineRule="exact"/>
              <w:jc w:val="center"/>
              <w:rPr>
                <w:rFonts w:eastAsiaTheme="minorEastAsia"/>
                <w:szCs w:val="21"/>
              </w:rPr>
            </w:pPr>
          </w:p>
        </w:tc>
        <w:tc>
          <w:tcPr>
            <w:tcW w:w="491" w:type="pct"/>
            <w:vMerge w:val="continue"/>
            <w:vAlign w:val="center"/>
          </w:tcPr>
          <w:p>
            <w:pPr>
              <w:spacing w:line="320" w:lineRule="exact"/>
              <w:jc w:val="center"/>
              <w:rPr>
                <w:rFonts w:eastAsiaTheme="minorEastAsia"/>
                <w:szCs w:val="21"/>
              </w:rPr>
            </w:pPr>
          </w:p>
        </w:tc>
        <w:tc>
          <w:tcPr>
            <w:tcW w:w="4097" w:type="pct"/>
            <w:vAlign w:val="center"/>
          </w:tcPr>
          <w:p>
            <w:pPr>
              <w:spacing w:line="320" w:lineRule="exact"/>
              <w:jc w:val="left"/>
              <w:rPr>
                <w:rFonts w:eastAsiaTheme="minorEastAsia"/>
                <w:szCs w:val="21"/>
              </w:rPr>
            </w:pPr>
            <w:r>
              <w:rPr>
                <w:rFonts w:eastAsiaTheme="minorEastAsia"/>
                <w:szCs w:val="21"/>
              </w:rPr>
              <w:t>交流接触器  6只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continue"/>
            <w:vAlign w:val="center"/>
          </w:tcPr>
          <w:p>
            <w:pPr>
              <w:spacing w:line="320" w:lineRule="exact"/>
              <w:jc w:val="center"/>
              <w:rPr>
                <w:rFonts w:eastAsiaTheme="minorEastAsia"/>
                <w:szCs w:val="21"/>
              </w:rPr>
            </w:pPr>
          </w:p>
        </w:tc>
        <w:tc>
          <w:tcPr>
            <w:tcW w:w="491" w:type="pct"/>
            <w:vMerge w:val="continue"/>
            <w:vAlign w:val="center"/>
          </w:tcPr>
          <w:p>
            <w:pPr>
              <w:spacing w:line="320" w:lineRule="exact"/>
              <w:jc w:val="center"/>
              <w:rPr>
                <w:rFonts w:eastAsiaTheme="minorEastAsia"/>
                <w:szCs w:val="21"/>
              </w:rPr>
            </w:pPr>
          </w:p>
        </w:tc>
        <w:tc>
          <w:tcPr>
            <w:tcW w:w="4097" w:type="pct"/>
            <w:vAlign w:val="center"/>
          </w:tcPr>
          <w:p>
            <w:pPr>
              <w:spacing w:line="320" w:lineRule="exact"/>
              <w:jc w:val="left"/>
              <w:rPr>
                <w:rFonts w:eastAsiaTheme="minorEastAsia"/>
                <w:szCs w:val="21"/>
              </w:rPr>
            </w:pPr>
            <w:r>
              <w:rPr>
                <w:rFonts w:eastAsiaTheme="minorEastAsia"/>
                <w:szCs w:val="21"/>
              </w:rPr>
              <w:t>辅助触头</w:t>
            </w:r>
            <w:r>
              <w:rPr>
                <w:rFonts w:eastAsiaTheme="minorEastAsia"/>
                <w:szCs w:val="21"/>
              </w:rPr>
              <w:tab/>
            </w:r>
            <w:r>
              <w:rPr>
                <w:rFonts w:eastAsiaTheme="minorEastAsia"/>
                <w:szCs w:val="21"/>
              </w:rPr>
              <w:t>4只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continue"/>
            <w:vAlign w:val="center"/>
          </w:tcPr>
          <w:p>
            <w:pPr>
              <w:spacing w:line="320" w:lineRule="exact"/>
              <w:jc w:val="center"/>
              <w:rPr>
                <w:rFonts w:eastAsiaTheme="minorEastAsia"/>
                <w:szCs w:val="21"/>
              </w:rPr>
            </w:pPr>
          </w:p>
        </w:tc>
        <w:tc>
          <w:tcPr>
            <w:tcW w:w="491" w:type="pct"/>
            <w:vMerge w:val="continue"/>
            <w:vAlign w:val="center"/>
          </w:tcPr>
          <w:p>
            <w:pPr>
              <w:spacing w:line="320" w:lineRule="exact"/>
              <w:jc w:val="center"/>
              <w:rPr>
                <w:rFonts w:eastAsiaTheme="minorEastAsia"/>
                <w:szCs w:val="21"/>
              </w:rPr>
            </w:pPr>
          </w:p>
        </w:tc>
        <w:tc>
          <w:tcPr>
            <w:tcW w:w="4097" w:type="pct"/>
            <w:vAlign w:val="center"/>
          </w:tcPr>
          <w:p>
            <w:pPr>
              <w:spacing w:line="320" w:lineRule="exact"/>
              <w:jc w:val="left"/>
              <w:rPr>
                <w:rFonts w:eastAsiaTheme="minorEastAsia"/>
                <w:szCs w:val="21"/>
              </w:rPr>
            </w:pPr>
            <w:r>
              <w:rPr>
                <w:rFonts w:eastAsiaTheme="minorEastAsia"/>
                <w:szCs w:val="21"/>
              </w:rPr>
              <w:t>热继电器</w:t>
            </w:r>
            <w:r>
              <w:rPr>
                <w:rFonts w:eastAsiaTheme="minorEastAsia"/>
                <w:szCs w:val="21"/>
              </w:rPr>
              <w:tab/>
            </w:r>
            <w:r>
              <w:rPr>
                <w:rFonts w:eastAsiaTheme="minorEastAsia"/>
                <w:szCs w:val="21"/>
              </w:rPr>
              <w:t>3只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continue"/>
            <w:vAlign w:val="center"/>
          </w:tcPr>
          <w:p>
            <w:pPr>
              <w:spacing w:line="320" w:lineRule="exact"/>
              <w:jc w:val="center"/>
              <w:rPr>
                <w:rFonts w:eastAsiaTheme="minorEastAsia"/>
                <w:szCs w:val="21"/>
              </w:rPr>
            </w:pPr>
          </w:p>
        </w:tc>
        <w:tc>
          <w:tcPr>
            <w:tcW w:w="491" w:type="pct"/>
            <w:vMerge w:val="continue"/>
            <w:vAlign w:val="center"/>
          </w:tcPr>
          <w:p>
            <w:pPr>
              <w:spacing w:line="320" w:lineRule="exact"/>
              <w:jc w:val="center"/>
              <w:rPr>
                <w:rFonts w:eastAsiaTheme="minorEastAsia"/>
                <w:szCs w:val="21"/>
              </w:rPr>
            </w:pPr>
          </w:p>
        </w:tc>
        <w:tc>
          <w:tcPr>
            <w:tcW w:w="4097" w:type="pct"/>
            <w:vAlign w:val="center"/>
          </w:tcPr>
          <w:p>
            <w:pPr>
              <w:spacing w:line="320" w:lineRule="exact"/>
              <w:jc w:val="left"/>
              <w:rPr>
                <w:rFonts w:eastAsiaTheme="minorEastAsia"/>
                <w:szCs w:val="21"/>
              </w:rPr>
            </w:pPr>
            <w:r>
              <w:rPr>
                <w:rFonts w:eastAsiaTheme="minorEastAsia"/>
                <w:szCs w:val="21"/>
              </w:rPr>
              <w:t>时间继电器</w:t>
            </w:r>
            <w:r>
              <w:rPr>
                <w:rFonts w:eastAsiaTheme="minorEastAsia"/>
                <w:szCs w:val="21"/>
              </w:rPr>
              <w:tab/>
            </w:r>
            <w:r>
              <w:rPr>
                <w:rFonts w:eastAsiaTheme="minorEastAsia"/>
                <w:szCs w:val="21"/>
              </w:rPr>
              <w:t xml:space="preserve"> 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continue"/>
            <w:vAlign w:val="center"/>
          </w:tcPr>
          <w:p>
            <w:pPr>
              <w:spacing w:line="320" w:lineRule="exact"/>
              <w:jc w:val="center"/>
              <w:rPr>
                <w:rFonts w:eastAsiaTheme="minorEastAsia"/>
                <w:szCs w:val="21"/>
              </w:rPr>
            </w:pPr>
          </w:p>
        </w:tc>
        <w:tc>
          <w:tcPr>
            <w:tcW w:w="491" w:type="pct"/>
            <w:vMerge w:val="continue"/>
            <w:vAlign w:val="center"/>
          </w:tcPr>
          <w:p>
            <w:pPr>
              <w:spacing w:line="320" w:lineRule="exact"/>
              <w:jc w:val="center"/>
              <w:rPr>
                <w:rFonts w:eastAsiaTheme="minorEastAsia"/>
                <w:szCs w:val="21"/>
              </w:rPr>
            </w:pPr>
          </w:p>
        </w:tc>
        <w:tc>
          <w:tcPr>
            <w:tcW w:w="4097" w:type="pct"/>
            <w:vAlign w:val="center"/>
          </w:tcPr>
          <w:p>
            <w:pPr>
              <w:spacing w:line="320" w:lineRule="exact"/>
              <w:jc w:val="left"/>
              <w:rPr>
                <w:rFonts w:eastAsiaTheme="minorEastAsia"/>
                <w:szCs w:val="21"/>
              </w:rPr>
            </w:pPr>
            <w:r>
              <w:rPr>
                <w:rFonts w:eastAsiaTheme="minorEastAsia"/>
                <w:szCs w:val="21"/>
              </w:rPr>
              <w:t>电磁阀</w:t>
            </w:r>
            <w:r>
              <w:rPr>
                <w:rFonts w:eastAsiaTheme="minorEastAsia"/>
                <w:szCs w:val="21"/>
              </w:rPr>
              <w:tab/>
            </w:r>
            <w:r>
              <w:rPr>
                <w:rFonts w:eastAsiaTheme="minorEastAsia"/>
                <w:szCs w:val="21"/>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continue"/>
            <w:vAlign w:val="center"/>
          </w:tcPr>
          <w:p>
            <w:pPr>
              <w:spacing w:line="320" w:lineRule="exact"/>
              <w:jc w:val="center"/>
              <w:rPr>
                <w:rFonts w:eastAsiaTheme="minorEastAsia"/>
                <w:szCs w:val="21"/>
              </w:rPr>
            </w:pPr>
          </w:p>
        </w:tc>
        <w:tc>
          <w:tcPr>
            <w:tcW w:w="491" w:type="pct"/>
            <w:vMerge w:val="continue"/>
            <w:vAlign w:val="center"/>
          </w:tcPr>
          <w:p>
            <w:pPr>
              <w:spacing w:line="320" w:lineRule="exact"/>
              <w:jc w:val="center"/>
              <w:rPr>
                <w:rFonts w:eastAsiaTheme="minorEastAsia"/>
                <w:szCs w:val="21"/>
              </w:rPr>
            </w:pPr>
          </w:p>
        </w:tc>
        <w:tc>
          <w:tcPr>
            <w:tcW w:w="4097" w:type="pct"/>
            <w:vAlign w:val="center"/>
          </w:tcPr>
          <w:p>
            <w:pPr>
              <w:spacing w:line="320" w:lineRule="exact"/>
              <w:jc w:val="left"/>
              <w:rPr>
                <w:rFonts w:eastAsiaTheme="minorEastAsia"/>
                <w:szCs w:val="21"/>
              </w:rPr>
            </w:pPr>
            <w:r>
              <w:rPr>
                <w:rFonts w:eastAsiaTheme="minorEastAsia"/>
                <w:szCs w:val="21"/>
              </w:rPr>
              <w:t>普通按钮</w:t>
            </w:r>
            <w:r>
              <w:rPr>
                <w:rFonts w:eastAsiaTheme="minorEastAsia"/>
                <w:szCs w:val="21"/>
              </w:rPr>
              <w:tab/>
            </w:r>
            <w:r>
              <w:rPr>
                <w:rFonts w:eastAsiaTheme="minorEastAsia"/>
                <w:szCs w:val="21"/>
              </w:rPr>
              <w:t>LAY16-AB11</w:t>
            </w:r>
            <w:r>
              <w:rPr>
                <w:rFonts w:eastAsiaTheme="minorEastAsia"/>
                <w:szCs w:val="21"/>
              </w:rPr>
              <w:tab/>
            </w:r>
            <w:r>
              <w:rPr>
                <w:rFonts w:eastAsiaTheme="minorEastAsia"/>
                <w:szCs w:val="21"/>
              </w:rPr>
              <w:t xml:space="preserve"> 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continue"/>
            <w:vAlign w:val="center"/>
          </w:tcPr>
          <w:p>
            <w:pPr>
              <w:spacing w:line="320" w:lineRule="exact"/>
              <w:jc w:val="center"/>
              <w:rPr>
                <w:rFonts w:eastAsiaTheme="minorEastAsia"/>
                <w:szCs w:val="21"/>
              </w:rPr>
            </w:pPr>
          </w:p>
        </w:tc>
        <w:tc>
          <w:tcPr>
            <w:tcW w:w="491" w:type="pct"/>
            <w:vMerge w:val="continue"/>
            <w:vAlign w:val="center"/>
          </w:tcPr>
          <w:p>
            <w:pPr>
              <w:spacing w:line="320" w:lineRule="exact"/>
              <w:jc w:val="center"/>
              <w:rPr>
                <w:rFonts w:eastAsiaTheme="minorEastAsia"/>
                <w:szCs w:val="21"/>
              </w:rPr>
            </w:pPr>
          </w:p>
        </w:tc>
        <w:tc>
          <w:tcPr>
            <w:tcW w:w="4097" w:type="pct"/>
            <w:vAlign w:val="center"/>
          </w:tcPr>
          <w:p>
            <w:pPr>
              <w:spacing w:line="320" w:lineRule="exact"/>
              <w:jc w:val="left"/>
              <w:rPr>
                <w:rFonts w:eastAsiaTheme="minorEastAsia"/>
                <w:szCs w:val="21"/>
              </w:rPr>
            </w:pPr>
            <w:r>
              <w:rPr>
                <w:rFonts w:eastAsiaTheme="minorEastAsia"/>
                <w:szCs w:val="21"/>
              </w:rPr>
              <w:t>普通按钮</w:t>
            </w:r>
            <w:r>
              <w:rPr>
                <w:rFonts w:eastAsiaTheme="minorEastAsia"/>
                <w:szCs w:val="21"/>
              </w:rPr>
              <w:tab/>
            </w:r>
            <w:r>
              <w:rPr>
                <w:rFonts w:eastAsiaTheme="minorEastAsia"/>
                <w:szCs w:val="21"/>
              </w:rPr>
              <w:t>LAY16-AR11</w:t>
            </w:r>
            <w:r>
              <w:rPr>
                <w:rFonts w:eastAsiaTheme="minorEastAsia"/>
                <w:szCs w:val="21"/>
              </w:rPr>
              <w:tab/>
            </w:r>
            <w:r>
              <w:rPr>
                <w:rFonts w:eastAsiaTheme="minorEastAsia"/>
                <w:szCs w:val="21"/>
              </w:rPr>
              <w:t xml:space="preserve"> 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continue"/>
            <w:vAlign w:val="center"/>
          </w:tcPr>
          <w:p>
            <w:pPr>
              <w:spacing w:line="320" w:lineRule="exact"/>
              <w:jc w:val="center"/>
              <w:rPr>
                <w:rFonts w:eastAsiaTheme="minorEastAsia"/>
                <w:szCs w:val="21"/>
              </w:rPr>
            </w:pPr>
          </w:p>
        </w:tc>
        <w:tc>
          <w:tcPr>
            <w:tcW w:w="491" w:type="pct"/>
            <w:vMerge w:val="continue"/>
            <w:vAlign w:val="center"/>
          </w:tcPr>
          <w:p>
            <w:pPr>
              <w:spacing w:line="320" w:lineRule="exact"/>
              <w:jc w:val="center"/>
              <w:rPr>
                <w:rFonts w:eastAsiaTheme="minorEastAsia"/>
                <w:szCs w:val="21"/>
              </w:rPr>
            </w:pPr>
          </w:p>
        </w:tc>
        <w:tc>
          <w:tcPr>
            <w:tcW w:w="4097" w:type="pct"/>
            <w:vAlign w:val="center"/>
          </w:tcPr>
          <w:p>
            <w:pPr>
              <w:spacing w:line="320" w:lineRule="exact"/>
              <w:jc w:val="left"/>
              <w:rPr>
                <w:rFonts w:eastAsiaTheme="minorEastAsia"/>
                <w:szCs w:val="21"/>
              </w:rPr>
            </w:pPr>
            <w:r>
              <w:rPr>
                <w:rFonts w:eastAsiaTheme="minorEastAsia"/>
                <w:szCs w:val="21"/>
              </w:rPr>
              <w:t>普通按钮  LAY16-AG11  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continue"/>
            <w:vAlign w:val="center"/>
          </w:tcPr>
          <w:p>
            <w:pPr>
              <w:spacing w:line="320" w:lineRule="exact"/>
              <w:jc w:val="center"/>
              <w:rPr>
                <w:rFonts w:eastAsiaTheme="minorEastAsia"/>
                <w:szCs w:val="21"/>
              </w:rPr>
            </w:pPr>
          </w:p>
        </w:tc>
        <w:tc>
          <w:tcPr>
            <w:tcW w:w="491" w:type="pct"/>
            <w:vMerge w:val="continue"/>
            <w:vAlign w:val="center"/>
          </w:tcPr>
          <w:p>
            <w:pPr>
              <w:spacing w:line="320" w:lineRule="exact"/>
              <w:jc w:val="center"/>
              <w:rPr>
                <w:rFonts w:eastAsiaTheme="minorEastAsia"/>
                <w:szCs w:val="21"/>
              </w:rPr>
            </w:pPr>
          </w:p>
        </w:tc>
        <w:tc>
          <w:tcPr>
            <w:tcW w:w="4097" w:type="pct"/>
            <w:vAlign w:val="center"/>
          </w:tcPr>
          <w:p>
            <w:pPr>
              <w:spacing w:line="320" w:lineRule="exact"/>
              <w:jc w:val="left"/>
              <w:rPr>
                <w:rFonts w:eastAsiaTheme="minorEastAsia"/>
                <w:szCs w:val="21"/>
              </w:rPr>
            </w:pPr>
            <w:r>
              <w:rPr>
                <w:rFonts w:eastAsiaTheme="minorEastAsia"/>
                <w:szCs w:val="21"/>
              </w:rPr>
              <w:t>二位旋钮</w:t>
            </w:r>
            <w:r>
              <w:rPr>
                <w:rFonts w:eastAsiaTheme="minorEastAsia"/>
                <w:szCs w:val="21"/>
              </w:rPr>
              <w:tab/>
            </w:r>
            <w:r>
              <w:rPr>
                <w:rFonts w:eastAsiaTheme="minorEastAsia"/>
                <w:szCs w:val="21"/>
              </w:rPr>
              <w:t>LAY16-DB11</w:t>
            </w:r>
            <w:r>
              <w:rPr>
                <w:rFonts w:eastAsiaTheme="minorEastAsia"/>
                <w:szCs w:val="21"/>
              </w:rPr>
              <w:tab/>
            </w:r>
            <w:r>
              <w:rPr>
                <w:rFonts w:eastAsiaTheme="minorEastAsia"/>
                <w:szCs w:val="21"/>
              </w:rPr>
              <w:t xml:space="preserve"> 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continue"/>
            <w:vAlign w:val="center"/>
          </w:tcPr>
          <w:p>
            <w:pPr>
              <w:spacing w:line="320" w:lineRule="exact"/>
              <w:jc w:val="center"/>
              <w:rPr>
                <w:rFonts w:eastAsiaTheme="minorEastAsia"/>
                <w:szCs w:val="21"/>
              </w:rPr>
            </w:pPr>
          </w:p>
        </w:tc>
        <w:tc>
          <w:tcPr>
            <w:tcW w:w="491" w:type="pct"/>
            <w:vMerge w:val="continue"/>
            <w:vAlign w:val="center"/>
          </w:tcPr>
          <w:p>
            <w:pPr>
              <w:spacing w:line="320" w:lineRule="exact"/>
              <w:jc w:val="center"/>
              <w:rPr>
                <w:rFonts w:eastAsiaTheme="minorEastAsia"/>
                <w:szCs w:val="21"/>
              </w:rPr>
            </w:pPr>
          </w:p>
        </w:tc>
        <w:tc>
          <w:tcPr>
            <w:tcW w:w="4097" w:type="pct"/>
            <w:vAlign w:val="center"/>
          </w:tcPr>
          <w:p>
            <w:pPr>
              <w:spacing w:line="320" w:lineRule="exact"/>
              <w:jc w:val="left"/>
              <w:rPr>
                <w:rFonts w:eastAsiaTheme="minorEastAsia"/>
                <w:szCs w:val="21"/>
              </w:rPr>
            </w:pPr>
            <w:r>
              <w:rPr>
                <w:rFonts w:eastAsiaTheme="minorEastAsia"/>
                <w:szCs w:val="21"/>
              </w:rPr>
              <w:t>按钮开关盒</w:t>
            </w:r>
            <w:r>
              <w:rPr>
                <w:rFonts w:eastAsiaTheme="minorEastAsia"/>
                <w:szCs w:val="21"/>
              </w:rPr>
              <w:tab/>
            </w:r>
            <w:r>
              <w:rPr>
                <w:rFonts w:eastAsiaTheme="minorEastAsia"/>
                <w:szCs w:val="21"/>
              </w:rPr>
              <w:t>TYX4-P</w:t>
            </w:r>
            <w:r>
              <w:rPr>
                <w:rFonts w:eastAsiaTheme="minorEastAsia"/>
                <w:szCs w:val="21"/>
              </w:rPr>
              <w:tab/>
            </w:r>
            <w:r>
              <w:rPr>
                <w:rFonts w:eastAsiaTheme="minorEastAsia"/>
                <w:szCs w:val="21"/>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continue"/>
            <w:vAlign w:val="center"/>
          </w:tcPr>
          <w:p>
            <w:pPr>
              <w:spacing w:line="320" w:lineRule="exact"/>
              <w:jc w:val="center"/>
              <w:rPr>
                <w:rFonts w:eastAsiaTheme="minorEastAsia"/>
                <w:szCs w:val="21"/>
              </w:rPr>
            </w:pPr>
          </w:p>
        </w:tc>
        <w:tc>
          <w:tcPr>
            <w:tcW w:w="491" w:type="pct"/>
            <w:vMerge w:val="continue"/>
            <w:vAlign w:val="center"/>
          </w:tcPr>
          <w:p>
            <w:pPr>
              <w:spacing w:line="320" w:lineRule="exact"/>
              <w:jc w:val="center"/>
              <w:rPr>
                <w:rFonts w:eastAsiaTheme="minorEastAsia"/>
                <w:szCs w:val="21"/>
              </w:rPr>
            </w:pPr>
          </w:p>
        </w:tc>
        <w:tc>
          <w:tcPr>
            <w:tcW w:w="4097" w:type="pct"/>
            <w:vAlign w:val="center"/>
          </w:tcPr>
          <w:p>
            <w:pPr>
              <w:spacing w:line="320" w:lineRule="exact"/>
              <w:jc w:val="left"/>
              <w:rPr>
                <w:rFonts w:eastAsiaTheme="minorEastAsia"/>
                <w:szCs w:val="21"/>
              </w:rPr>
            </w:pPr>
            <w:r>
              <w:rPr>
                <w:rFonts w:eastAsiaTheme="minorEastAsia"/>
                <w:szCs w:val="21"/>
              </w:rPr>
              <w:t>十字开关（带支架）</w:t>
            </w:r>
            <w:r>
              <w:rPr>
                <w:rFonts w:eastAsiaTheme="minorEastAsia"/>
                <w:szCs w:val="21"/>
              </w:rPr>
              <w:tab/>
            </w:r>
            <w:r>
              <w:rPr>
                <w:rFonts w:eastAsiaTheme="minorEastAsia"/>
                <w:szCs w:val="21"/>
              </w:rPr>
              <w:t>TMRM-30-8A</w:t>
            </w:r>
            <w:r>
              <w:rPr>
                <w:rFonts w:eastAsiaTheme="minorEastAsia"/>
                <w:szCs w:val="21"/>
              </w:rPr>
              <w:tab/>
            </w:r>
            <w:r>
              <w:rPr>
                <w:rFonts w:eastAsiaTheme="minorEastAsia"/>
                <w:szCs w:val="21"/>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continue"/>
            <w:vAlign w:val="center"/>
          </w:tcPr>
          <w:p>
            <w:pPr>
              <w:spacing w:line="320" w:lineRule="exact"/>
              <w:jc w:val="center"/>
              <w:rPr>
                <w:rFonts w:eastAsiaTheme="minorEastAsia"/>
                <w:szCs w:val="21"/>
              </w:rPr>
            </w:pPr>
          </w:p>
        </w:tc>
        <w:tc>
          <w:tcPr>
            <w:tcW w:w="491" w:type="pct"/>
            <w:vMerge w:val="continue"/>
            <w:vAlign w:val="center"/>
          </w:tcPr>
          <w:p>
            <w:pPr>
              <w:spacing w:line="320" w:lineRule="exact"/>
              <w:jc w:val="center"/>
              <w:rPr>
                <w:rFonts w:eastAsiaTheme="minorEastAsia"/>
                <w:szCs w:val="21"/>
              </w:rPr>
            </w:pPr>
          </w:p>
        </w:tc>
        <w:tc>
          <w:tcPr>
            <w:tcW w:w="4097" w:type="pct"/>
            <w:vAlign w:val="center"/>
          </w:tcPr>
          <w:p>
            <w:pPr>
              <w:spacing w:line="320" w:lineRule="exact"/>
              <w:jc w:val="left"/>
              <w:rPr>
                <w:rFonts w:eastAsiaTheme="minorEastAsia"/>
                <w:szCs w:val="21"/>
              </w:rPr>
            </w:pPr>
            <w:r>
              <w:rPr>
                <w:rFonts w:eastAsiaTheme="minorEastAsia"/>
                <w:szCs w:val="21"/>
              </w:rPr>
              <w:t>凸轮开关（带支架）</w:t>
            </w:r>
            <w:r>
              <w:rPr>
                <w:rFonts w:eastAsiaTheme="minorEastAsia"/>
                <w:szCs w:val="21"/>
              </w:rPr>
              <w:tab/>
            </w:r>
            <w:r>
              <w:rPr>
                <w:rFonts w:eastAsiaTheme="minorEastAsia"/>
                <w:szCs w:val="21"/>
              </w:rPr>
              <w:t>LW42A2-3142-LF3197</w:t>
            </w:r>
            <w:r>
              <w:rPr>
                <w:rFonts w:eastAsiaTheme="minorEastAsia"/>
                <w:szCs w:val="21"/>
              </w:rPr>
              <w:tab/>
            </w:r>
            <w:r>
              <w:rPr>
                <w:rFonts w:eastAsiaTheme="minorEastAsia"/>
                <w:szCs w:val="21"/>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continue"/>
            <w:vAlign w:val="center"/>
          </w:tcPr>
          <w:p>
            <w:pPr>
              <w:spacing w:line="320" w:lineRule="exact"/>
              <w:jc w:val="center"/>
              <w:rPr>
                <w:rFonts w:eastAsiaTheme="minorEastAsia"/>
                <w:szCs w:val="21"/>
              </w:rPr>
            </w:pPr>
          </w:p>
        </w:tc>
        <w:tc>
          <w:tcPr>
            <w:tcW w:w="491" w:type="pct"/>
            <w:vMerge w:val="continue"/>
            <w:vAlign w:val="center"/>
          </w:tcPr>
          <w:p>
            <w:pPr>
              <w:spacing w:line="320" w:lineRule="exact"/>
              <w:jc w:val="center"/>
              <w:rPr>
                <w:rFonts w:eastAsiaTheme="minorEastAsia"/>
                <w:szCs w:val="21"/>
              </w:rPr>
            </w:pPr>
          </w:p>
        </w:tc>
        <w:tc>
          <w:tcPr>
            <w:tcW w:w="4097" w:type="pct"/>
            <w:vAlign w:val="center"/>
          </w:tcPr>
          <w:p>
            <w:pPr>
              <w:spacing w:line="320" w:lineRule="exact"/>
              <w:jc w:val="left"/>
              <w:rPr>
                <w:rFonts w:eastAsiaTheme="minorEastAsia"/>
                <w:szCs w:val="21"/>
              </w:rPr>
            </w:pPr>
            <w:r>
              <w:rPr>
                <w:rFonts w:eastAsiaTheme="minorEastAsia"/>
                <w:szCs w:val="21"/>
              </w:rPr>
              <w:t>线绕式电阻器</w:t>
            </w:r>
            <w:r>
              <w:rPr>
                <w:rFonts w:eastAsiaTheme="minorEastAsia"/>
                <w:szCs w:val="21"/>
              </w:rPr>
              <w:tab/>
            </w:r>
            <w:r>
              <w:rPr>
                <w:rFonts w:eastAsiaTheme="minorEastAsia"/>
                <w:szCs w:val="21"/>
              </w:rPr>
              <w:t>25W-330Ω</w:t>
            </w:r>
            <w:r>
              <w:rPr>
                <w:rFonts w:eastAsiaTheme="minorEastAsia"/>
                <w:szCs w:val="21"/>
              </w:rPr>
              <w:tab/>
            </w:r>
            <w:r>
              <w:rPr>
                <w:rFonts w:eastAsiaTheme="minorEastAsia"/>
                <w:szCs w:val="21"/>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continue"/>
            <w:vAlign w:val="center"/>
          </w:tcPr>
          <w:p>
            <w:pPr>
              <w:spacing w:line="320" w:lineRule="exact"/>
              <w:jc w:val="center"/>
              <w:rPr>
                <w:rFonts w:eastAsiaTheme="minorEastAsia"/>
                <w:szCs w:val="21"/>
              </w:rPr>
            </w:pPr>
          </w:p>
        </w:tc>
        <w:tc>
          <w:tcPr>
            <w:tcW w:w="491" w:type="pct"/>
            <w:vMerge w:val="continue"/>
            <w:vAlign w:val="center"/>
          </w:tcPr>
          <w:p>
            <w:pPr>
              <w:spacing w:line="320" w:lineRule="exact"/>
              <w:jc w:val="center"/>
              <w:rPr>
                <w:rFonts w:eastAsiaTheme="minorEastAsia"/>
                <w:szCs w:val="21"/>
              </w:rPr>
            </w:pPr>
          </w:p>
        </w:tc>
        <w:tc>
          <w:tcPr>
            <w:tcW w:w="4097" w:type="pct"/>
            <w:vAlign w:val="center"/>
          </w:tcPr>
          <w:p>
            <w:pPr>
              <w:spacing w:line="320" w:lineRule="exact"/>
              <w:jc w:val="left"/>
              <w:rPr>
                <w:rFonts w:eastAsiaTheme="minorEastAsia"/>
                <w:szCs w:val="21"/>
              </w:rPr>
            </w:pPr>
            <w:r>
              <w:rPr>
                <w:rFonts w:eastAsiaTheme="minorEastAsia"/>
                <w:szCs w:val="21"/>
              </w:rPr>
              <w:t>整流桥</w:t>
            </w:r>
            <w:r>
              <w:rPr>
                <w:rFonts w:eastAsiaTheme="minorEastAsia"/>
                <w:szCs w:val="21"/>
              </w:rPr>
              <w:tab/>
            </w:r>
            <w:r>
              <w:rPr>
                <w:rFonts w:eastAsiaTheme="minorEastAsia"/>
                <w:szCs w:val="21"/>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continue"/>
            <w:vAlign w:val="center"/>
          </w:tcPr>
          <w:p>
            <w:pPr>
              <w:spacing w:line="320" w:lineRule="exact"/>
              <w:jc w:val="center"/>
              <w:rPr>
                <w:rFonts w:eastAsiaTheme="minorEastAsia"/>
                <w:szCs w:val="21"/>
              </w:rPr>
            </w:pPr>
          </w:p>
        </w:tc>
        <w:tc>
          <w:tcPr>
            <w:tcW w:w="491" w:type="pct"/>
            <w:vMerge w:val="continue"/>
            <w:vAlign w:val="center"/>
          </w:tcPr>
          <w:p>
            <w:pPr>
              <w:spacing w:line="320" w:lineRule="exact"/>
              <w:jc w:val="center"/>
              <w:rPr>
                <w:rFonts w:eastAsiaTheme="minorEastAsia"/>
                <w:szCs w:val="21"/>
              </w:rPr>
            </w:pPr>
          </w:p>
        </w:tc>
        <w:tc>
          <w:tcPr>
            <w:tcW w:w="4097" w:type="pct"/>
            <w:vAlign w:val="center"/>
          </w:tcPr>
          <w:p>
            <w:pPr>
              <w:spacing w:line="320" w:lineRule="exact"/>
              <w:jc w:val="left"/>
              <w:rPr>
                <w:rFonts w:eastAsiaTheme="minorEastAsia"/>
                <w:szCs w:val="21"/>
              </w:rPr>
            </w:pPr>
            <w:r>
              <w:rPr>
                <w:rFonts w:eastAsiaTheme="minorEastAsia"/>
                <w:szCs w:val="21"/>
              </w:rPr>
              <w:t>行程开关</w:t>
            </w:r>
            <w:r>
              <w:rPr>
                <w:rFonts w:eastAsiaTheme="minorEastAsia"/>
                <w:szCs w:val="21"/>
              </w:rPr>
              <w:tab/>
            </w:r>
            <w:r>
              <w:rPr>
                <w:rFonts w:eastAsiaTheme="minorEastAsia"/>
                <w:szCs w:val="21"/>
              </w:rPr>
              <w:t>4只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continue"/>
            <w:vAlign w:val="center"/>
          </w:tcPr>
          <w:p>
            <w:pPr>
              <w:spacing w:line="320" w:lineRule="exact"/>
              <w:jc w:val="center"/>
              <w:rPr>
                <w:rFonts w:eastAsiaTheme="minorEastAsia"/>
                <w:szCs w:val="21"/>
              </w:rPr>
            </w:pPr>
          </w:p>
        </w:tc>
        <w:tc>
          <w:tcPr>
            <w:tcW w:w="491" w:type="pct"/>
            <w:vMerge w:val="continue"/>
            <w:vAlign w:val="center"/>
          </w:tcPr>
          <w:p>
            <w:pPr>
              <w:spacing w:line="320" w:lineRule="exact"/>
              <w:jc w:val="center"/>
              <w:rPr>
                <w:rFonts w:eastAsiaTheme="minorEastAsia"/>
                <w:szCs w:val="21"/>
              </w:rPr>
            </w:pPr>
          </w:p>
        </w:tc>
        <w:tc>
          <w:tcPr>
            <w:tcW w:w="4097" w:type="pct"/>
            <w:vAlign w:val="center"/>
          </w:tcPr>
          <w:p>
            <w:pPr>
              <w:spacing w:line="320" w:lineRule="exact"/>
              <w:jc w:val="left"/>
              <w:rPr>
                <w:rFonts w:eastAsiaTheme="minorEastAsia"/>
                <w:szCs w:val="21"/>
              </w:rPr>
            </w:pPr>
            <w:r>
              <w:rPr>
                <w:rFonts w:eastAsiaTheme="minorEastAsia"/>
                <w:szCs w:val="21"/>
              </w:rPr>
              <w:t>控制变压器</w:t>
            </w:r>
            <w:r>
              <w:rPr>
                <w:rFonts w:eastAsiaTheme="minorEastAsia"/>
                <w:szCs w:val="21"/>
              </w:rPr>
              <w:tab/>
            </w:r>
            <w:r>
              <w:rPr>
                <w:rFonts w:eastAsiaTheme="minorEastAsia"/>
                <w:szCs w:val="21"/>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restart"/>
            <w:vAlign w:val="center"/>
          </w:tcPr>
          <w:p>
            <w:pPr>
              <w:spacing w:line="320" w:lineRule="exact"/>
              <w:jc w:val="center"/>
              <w:rPr>
                <w:rFonts w:eastAsiaTheme="minorEastAsia"/>
                <w:szCs w:val="21"/>
              </w:rPr>
            </w:pPr>
            <w:r>
              <w:rPr>
                <w:rFonts w:eastAsiaTheme="minorEastAsia"/>
                <w:szCs w:val="21"/>
              </w:rPr>
              <w:t>4</w:t>
            </w:r>
          </w:p>
          <w:p>
            <w:pPr>
              <w:spacing w:line="320" w:lineRule="exact"/>
              <w:jc w:val="center"/>
              <w:rPr>
                <w:rFonts w:eastAsiaTheme="minorEastAsia"/>
                <w:szCs w:val="21"/>
              </w:rPr>
            </w:pPr>
          </w:p>
          <w:p>
            <w:pPr>
              <w:spacing w:line="320" w:lineRule="exact"/>
              <w:jc w:val="center"/>
              <w:rPr>
                <w:rFonts w:eastAsiaTheme="minorEastAsia"/>
                <w:szCs w:val="21"/>
              </w:rPr>
            </w:pPr>
          </w:p>
        </w:tc>
        <w:tc>
          <w:tcPr>
            <w:tcW w:w="491" w:type="pct"/>
            <w:vMerge w:val="restart"/>
            <w:vAlign w:val="center"/>
          </w:tcPr>
          <w:p>
            <w:pPr>
              <w:spacing w:line="320" w:lineRule="exact"/>
              <w:jc w:val="center"/>
              <w:rPr>
                <w:rFonts w:eastAsiaTheme="minorEastAsia"/>
                <w:szCs w:val="21"/>
              </w:rPr>
            </w:pPr>
            <w:r>
              <w:rPr>
                <w:rFonts w:eastAsiaTheme="minorEastAsia"/>
                <w:szCs w:val="21"/>
              </w:rPr>
              <w:t>应完成的实验项目</w:t>
            </w:r>
          </w:p>
        </w:tc>
        <w:tc>
          <w:tcPr>
            <w:tcW w:w="4097" w:type="pct"/>
            <w:vAlign w:val="center"/>
          </w:tcPr>
          <w:p>
            <w:pPr>
              <w:spacing w:line="320" w:lineRule="exact"/>
              <w:jc w:val="left"/>
              <w:rPr>
                <w:rFonts w:eastAsiaTheme="minorEastAsia"/>
                <w:szCs w:val="21"/>
              </w:rPr>
            </w:pPr>
            <w:r>
              <w:rPr>
                <w:rFonts w:eastAsiaTheme="minorEastAsia"/>
                <w:szCs w:val="21"/>
              </w:rPr>
              <w:t>白炽灯照明电路的安装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continue"/>
            <w:vAlign w:val="center"/>
          </w:tcPr>
          <w:p>
            <w:pPr>
              <w:spacing w:line="320" w:lineRule="exact"/>
              <w:jc w:val="center"/>
              <w:rPr>
                <w:rFonts w:eastAsiaTheme="minorEastAsia"/>
                <w:szCs w:val="21"/>
              </w:rPr>
            </w:pPr>
          </w:p>
        </w:tc>
        <w:tc>
          <w:tcPr>
            <w:tcW w:w="491" w:type="pct"/>
            <w:vMerge w:val="continue"/>
            <w:vAlign w:val="center"/>
          </w:tcPr>
          <w:p>
            <w:pPr>
              <w:spacing w:line="320" w:lineRule="exact"/>
              <w:jc w:val="center"/>
              <w:rPr>
                <w:rFonts w:eastAsiaTheme="minorEastAsia"/>
                <w:szCs w:val="21"/>
              </w:rPr>
            </w:pPr>
          </w:p>
        </w:tc>
        <w:tc>
          <w:tcPr>
            <w:tcW w:w="4097" w:type="pct"/>
            <w:vAlign w:val="center"/>
          </w:tcPr>
          <w:p>
            <w:pPr>
              <w:spacing w:line="320" w:lineRule="exact"/>
              <w:jc w:val="left"/>
              <w:rPr>
                <w:rFonts w:eastAsiaTheme="minorEastAsia"/>
                <w:szCs w:val="21"/>
              </w:rPr>
            </w:pPr>
            <w:r>
              <w:rPr>
                <w:rFonts w:eastAsiaTheme="minorEastAsia"/>
                <w:szCs w:val="21"/>
              </w:rPr>
              <w:t>两个开关控制一盏灯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continue"/>
            <w:vAlign w:val="center"/>
          </w:tcPr>
          <w:p>
            <w:pPr>
              <w:spacing w:line="320" w:lineRule="exact"/>
              <w:jc w:val="center"/>
              <w:rPr>
                <w:rFonts w:eastAsiaTheme="minorEastAsia"/>
                <w:szCs w:val="21"/>
              </w:rPr>
            </w:pPr>
          </w:p>
        </w:tc>
        <w:tc>
          <w:tcPr>
            <w:tcW w:w="491" w:type="pct"/>
            <w:vMerge w:val="continue"/>
            <w:vAlign w:val="center"/>
          </w:tcPr>
          <w:p>
            <w:pPr>
              <w:spacing w:line="320" w:lineRule="exact"/>
              <w:jc w:val="center"/>
              <w:rPr>
                <w:rFonts w:eastAsiaTheme="minorEastAsia"/>
                <w:szCs w:val="21"/>
              </w:rPr>
            </w:pPr>
          </w:p>
        </w:tc>
        <w:tc>
          <w:tcPr>
            <w:tcW w:w="4097" w:type="pct"/>
            <w:vAlign w:val="center"/>
          </w:tcPr>
          <w:p>
            <w:pPr>
              <w:spacing w:line="320" w:lineRule="exact"/>
              <w:jc w:val="left"/>
              <w:rPr>
                <w:rFonts w:eastAsiaTheme="minorEastAsia"/>
                <w:szCs w:val="21"/>
              </w:rPr>
            </w:pPr>
            <w:r>
              <w:rPr>
                <w:rFonts w:eastAsiaTheme="minorEastAsia"/>
                <w:szCs w:val="21"/>
              </w:rPr>
              <w:t>日光灯电路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continue"/>
            <w:vAlign w:val="center"/>
          </w:tcPr>
          <w:p>
            <w:pPr>
              <w:spacing w:line="320" w:lineRule="exact"/>
              <w:jc w:val="center"/>
              <w:rPr>
                <w:rFonts w:eastAsiaTheme="minorEastAsia"/>
                <w:szCs w:val="21"/>
              </w:rPr>
            </w:pPr>
          </w:p>
        </w:tc>
        <w:tc>
          <w:tcPr>
            <w:tcW w:w="491" w:type="pct"/>
            <w:vMerge w:val="continue"/>
            <w:vAlign w:val="center"/>
          </w:tcPr>
          <w:p>
            <w:pPr>
              <w:spacing w:line="320" w:lineRule="exact"/>
              <w:jc w:val="center"/>
              <w:rPr>
                <w:rFonts w:eastAsiaTheme="minorEastAsia"/>
                <w:szCs w:val="21"/>
              </w:rPr>
            </w:pPr>
          </w:p>
        </w:tc>
        <w:tc>
          <w:tcPr>
            <w:tcW w:w="4097" w:type="pct"/>
            <w:vAlign w:val="center"/>
          </w:tcPr>
          <w:p>
            <w:pPr>
              <w:spacing w:line="320" w:lineRule="exact"/>
              <w:jc w:val="left"/>
              <w:rPr>
                <w:rFonts w:eastAsiaTheme="minorEastAsia"/>
                <w:szCs w:val="21"/>
              </w:rPr>
            </w:pPr>
            <w:r>
              <w:rPr>
                <w:rFonts w:eastAsiaTheme="minorEastAsia"/>
                <w:szCs w:val="21"/>
              </w:rPr>
              <w:t>电度表原理与接线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continue"/>
            <w:vAlign w:val="center"/>
          </w:tcPr>
          <w:p>
            <w:pPr>
              <w:spacing w:line="320" w:lineRule="exact"/>
              <w:jc w:val="center"/>
              <w:rPr>
                <w:rFonts w:eastAsiaTheme="minorEastAsia"/>
                <w:szCs w:val="21"/>
              </w:rPr>
            </w:pPr>
          </w:p>
        </w:tc>
        <w:tc>
          <w:tcPr>
            <w:tcW w:w="491" w:type="pct"/>
            <w:vMerge w:val="continue"/>
            <w:vAlign w:val="center"/>
          </w:tcPr>
          <w:p>
            <w:pPr>
              <w:spacing w:line="320" w:lineRule="exact"/>
              <w:jc w:val="center"/>
              <w:rPr>
                <w:rFonts w:eastAsiaTheme="minorEastAsia"/>
                <w:szCs w:val="21"/>
              </w:rPr>
            </w:pPr>
          </w:p>
        </w:tc>
        <w:tc>
          <w:tcPr>
            <w:tcW w:w="4097" w:type="pct"/>
            <w:vAlign w:val="center"/>
          </w:tcPr>
          <w:p>
            <w:pPr>
              <w:spacing w:line="320" w:lineRule="exact"/>
              <w:jc w:val="left"/>
              <w:rPr>
                <w:rFonts w:eastAsiaTheme="minorEastAsia"/>
                <w:szCs w:val="21"/>
              </w:rPr>
            </w:pPr>
            <w:r>
              <w:rPr>
                <w:rFonts w:eastAsiaTheme="minorEastAsia"/>
                <w:szCs w:val="21"/>
              </w:rPr>
              <w:t>单相电度表的直接接线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continue"/>
            <w:vAlign w:val="center"/>
          </w:tcPr>
          <w:p>
            <w:pPr>
              <w:spacing w:line="320" w:lineRule="exact"/>
              <w:jc w:val="center"/>
              <w:rPr>
                <w:rFonts w:eastAsiaTheme="minorEastAsia"/>
                <w:szCs w:val="21"/>
              </w:rPr>
            </w:pPr>
          </w:p>
        </w:tc>
        <w:tc>
          <w:tcPr>
            <w:tcW w:w="491" w:type="pct"/>
            <w:vMerge w:val="continue"/>
            <w:vAlign w:val="center"/>
          </w:tcPr>
          <w:p>
            <w:pPr>
              <w:spacing w:line="320" w:lineRule="exact"/>
              <w:jc w:val="center"/>
              <w:rPr>
                <w:rFonts w:eastAsiaTheme="minorEastAsia"/>
                <w:szCs w:val="21"/>
              </w:rPr>
            </w:pPr>
          </w:p>
        </w:tc>
        <w:tc>
          <w:tcPr>
            <w:tcW w:w="4097" w:type="pct"/>
            <w:vAlign w:val="center"/>
          </w:tcPr>
          <w:p>
            <w:pPr>
              <w:spacing w:line="320" w:lineRule="exact"/>
              <w:jc w:val="left"/>
              <w:rPr>
                <w:rFonts w:eastAsiaTheme="minorEastAsia"/>
                <w:szCs w:val="21"/>
              </w:rPr>
            </w:pPr>
            <w:r>
              <w:rPr>
                <w:rFonts w:eastAsiaTheme="minorEastAsia"/>
                <w:szCs w:val="21"/>
              </w:rPr>
              <w:t>三相异步电动机直接启动控制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continue"/>
            <w:vAlign w:val="center"/>
          </w:tcPr>
          <w:p>
            <w:pPr>
              <w:spacing w:line="320" w:lineRule="exact"/>
              <w:jc w:val="center"/>
              <w:rPr>
                <w:rFonts w:eastAsiaTheme="minorEastAsia"/>
                <w:szCs w:val="21"/>
              </w:rPr>
            </w:pPr>
          </w:p>
        </w:tc>
        <w:tc>
          <w:tcPr>
            <w:tcW w:w="491" w:type="pct"/>
            <w:vMerge w:val="continue"/>
            <w:vAlign w:val="center"/>
          </w:tcPr>
          <w:p>
            <w:pPr>
              <w:spacing w:line="320" w:lineRule="exact"/>
              <w:jc w:val="center"/>
              <w:rPr>
                <w:rFonts w:eastAsiaTheme="minorEastAsia"/>
                <w:szCs w:val="21"/>
              </w:rPr>
            </w:pPr>
          </w:p>
        </w:tc>
        <w:tc>
          <w:tcPr>
            <w:tcW w:w="4097" w:type="pct"/>
            <w:vAlign w:val="center"/>
          </w:tcPr>
          <w:p>
            <w:pPr>
              <w:spacing w:line="320" w:lineRule="exact"/>
              <w:jc w:val="left"/>
              <w:rPr>
                <w:rFonts w:eastAsiaTheme="minorEastAsia"/>
                <w:szCs w:val="21"/>
              </w:rPr>
            </w:pPr>
            <w:r>
              <w:rPr>
                <w:rFonts w:eastAsiaTheme="minorEastAsia"/>
                <w:szCs w:val="21"/>
              </w:rPr>
              <w:t>三相异步电动机接触器点动控制线路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continue"/>
            <w:vAlign w:val="center"/>
          </w:tcPr>
          <w:p>
            <w:pPr>
              <w:spacing w:line="320" w:lineRule="exact"/>
              <w:jc w:val="center"/>
              <w:rPr>
                <w:rFonts w:eastAsiaTheme="minorEastAsia"/>
                <w:szCs w:val="21"/>
              </w:rPr>
            </w:pPr>
          </w:p>
        </w:tc>
        <w:tc>
          <w:tcPr>
            <w:tcW w:w="491" w:type="pct"/>
            <w:vMerge w:val="continue"/>
            <w:vAlign w:val="center"/>
          </w:tcPr>
          <w:p>
            <w:pPr>
              <w:spacing w:line="320" w:lineRule="exact"/>
              <w:jc w:val="center"/>
              <w:rPr>
                <w:rFonts w:eastAsiaTheme="minorEastAsia"/>
                <w:szCs w:val="21"/>
              </w:rPr>
            </w:pPr>
          </w:p>
        </w:tc>
        <w:tc>
          <w:tcPr>
            <w:tcW w:w="4097" w:type="pct"/>
            <w:vAlign w:val="center"/>
          </w:tcPr>
          <w:p>
            <w:pPr>
              <w:spacing w:line="320" w:lineRule="exact"/>
              <w:jc w:val="left"/>
              <w:rPr>
                <w:rFonts w:eastAsiaTheme="minorEastAsia"/>
                <w:szCs w:val="21"/>
              </w:rPr>
            </w:pPr>
            <w:r>
              <w:rPr>
                <w:rFonts w:eastAsiaTheme="minorEastAsia"/>
                <w:szCs w:val="21"/>
              </w:rPr>
              <w:t>三相异步电动机接触器自锁控制线路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continue"/>
            <w:vAlign w:val="center"/>
          </w:tcPr>
          <w:p>
            <w:pPr>
              <w:spacing w:line="320" w:lineRule="exact"/>
              <w:jc w:val="center"/>
              <w:rPr>
                <w:rFonts w:eastAsiaTheme="minorEastAsia"/>
                <w:szCs w:val="21"/>
              </w:rPr>
            </w:pPr>
          </w:p>
        </w:tc>
        <w:tc>
          <w:tcPr>
            <w:tcW w:w="491" w:type="pct"/>
            <w:vMerge w:val="continue"/>
            <w:vAlign w:val="center"/>
          </w:tcPr>
          <w:p>
            <w:pPr>
              <w:spacing w:line="320" w:lineRule="exact"/>
              <w:jc w:val="center"/>
              <w:rPr>
                <w:rFonts w:eastAsiaTheme="minorEastAsia"/>
                <w:szCs w:val="21"/>
              </w:rPr>
            </w:pPr>
          </w:p>
        </w:tc>
        <w:tc>
          <w:tcPr>
            <w:tcW w:w="4097" w:type="pct"/>
            <w:vAlign w:val="center"/>
          </w:tcPr>
          <w:p>
            <w:pPr>
              <w:spacing w:line="320" w:lineRule="exact"/>
              <w:jc w:val="left"/>
              <w:rPr>
                <w:rFonts w:eastAsiaTheme="minorEastAsia"/>
                <w:szCs w:val="21"/>
              </w:rPr>
            </w:pPr>
            <w:r>
              <w:rPr>
                <w:rFonts w:eastAsiaTheme="minorEastAsia"/>
                <w:szCs w:val="21"/>
              </w:rPr>
              <w:t>接触器联锁的正反转控制线路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continue"/>
            <w:vAlign w:val="center"/>
          </w:tcPr>
          <w:p>
            <w:pPr>
              <w:spacing w:line="320" w:lineRule="exact"/>
              <w:jc w:val="center"/>
              <w:rPr>
                <w:rFonts w:eastAsiaTheme="minorEastAsia"/>
                <w:szCs w:val="21"/>
              </w:rPr>
            </w:pPr>
          </w:p>
        </w:tc>
        <w:tc>
          <w:tcPr>
            <w:tcW w:w="491" w:type="pct"/>
            <w:vMerge w:val="continue"/>
            <w:vAlign w:val="center"/>
          </w:tcPr>
          <w:p>
            <w:pPr>
              <w:spacing w:line="320" w:lineRule="exact"/>
              <w:jc w:val="center"/>
              <w:rPr>
                <w:rFonts w:eastAsiaTheme="minorEastAsia"/>
                <w:szCs w:val="21"/>
              </w:rPr>
            </w:pPr>
          </w:p>
        </w:tc>
        <w:tc>
          <w:tcPr>
            <w:tcW w:w="4097" w:type="pct"/>
            <w:vAlign w:val="center"/>
          </w:tcPr>
          <w:p>
            <w:pPr>
              <w:spacing w:line="320" w:lineRule="exact"/>
              <w:jc w:val="left"/>
              <w:rPr>
                <w:rFonts w:eastAsiaTheme="minorEastAsia"/>
                <w:szCs w:val="21"/>
              </w:rPr>
            </w:pPr>
            <w:r>
              <w:rPr>
                <w:rFonts w:eastAsiaTheme="minorEastAsia"/>
                <w:szCs w:val="21"/>
              </w:rPr>
              <w:t>按钮联锁的三相异步电动机接触器正反转控制线路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continue"/>
            <w:vAlign w:val="center"/>
          </w:tcPr>
          <w:p>
            <w:pPr>
              <w:spacing w:line="320" w:lineRule="exact"/>
              <w:jc w:val="center"/>
              <w:rPr>
                <w:rFonts w:eastAsiaTheme="minorEastAsia"/>
                <w:szCs w:val="21"/>
              </w:rPr>
            </w:pPr>
          </w:p>
        </w:tc>
        <w:tc>
          <w:tcPr>
            <w:tcW w:w="491" w:type="pct"/>
            <w:vMerge w:val="continue"/>
            <w:vAlign w:val="center"/>
          </w:tcPr>
          <w:p>
            <w:pPr>
              <w:spacing w:line="320" w:lineRule="exact"/>
              <w:jc w:val="center"/>
              <w:rPr>
                <w:rFonts w:eastAsiaTheme="minorEastAsia"/>
                <w:szCs w:val="21"/>
              </w:rPr>
            </w:pPr>
          </w:p>
        </w:tc>
        <w:tc>
          <w:tcPr>
            <w:tcW w:w="4097" w:type="pct"/>
            <w:vAlign w:val="center"/>
          </w:tcPr>
          <w:p>
            <w:pPr>
              <w:spacing w:line="320" w:lineRule="exact"/>
              <w:jc w:val="left"/>
              <w:rPr>
                <w:rFonts w:eastAsiaTheme="minorEastAsia"/>
                <w:szCs w:val="21"/>
              </w:rPr>
            </w:pPr>
            <w:r>
              <w:rPr>
                <w:rFonts w:eastAsiaTheme="minorEastAsia"/>
                <w:szCs w:val="21"/>
              </w:rPr>
              <w:t>双重联锁的三相异步电动机正反转控制线路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continue"/>
            <w:vAlign w:val="center"/>
          </w:tcPr>
          <w:p>
            <w:pPr>
              <w:spacing w:line="320" w:lineRule="exact"/>
              <w:jc w:val="center"/>
              <w:rPr>
                <w:rFonts w:eastAsiaTheme="minorEastAsia"/>
                <w:szCs w:val="21"/>
              </w:rPr>
            </w:pPr>
          </w:p>
        </w:tc>
        <w:tc>
          <w:tcPr>
            <w:tcW w:w="491" w:type="pct"/>
            <w:vMerge w:val="continue"/>
            <w:vAlign w:val="center"/>
          </w:tcPr>
          <w:p>
            <w:pPr>
              <w:spacing w:line="320" w:lineRule="exact"/>
              <w:jc w:val="center"/>
              <w:rPr>
                <w:rFonts w:eastAsiaTheme="minorEastAsia"/>
                <w:szCs w:val="21"/>
              </w:rPr>
            </w:pPr>
          </w:p>
        </w:tc>
        <w:tc>
          <w:tcPr>
            <w:tcW w:w="4097" w:type="pct"/>
            <w:vAlign w:val="center"/>
          </w:tcPr>
          <w:p>
            <w:pPr>
              <w:spacing w:line="320" w:lineRule="exact"/>
              <w:jc w:val="left"/>
              <w:rPr>
                <w:rFonts w:eastAsiaTheme="minorEastAsia"/>
                <w:szCs w:val="21"/>
              </w:rPr>
            </w:pPr>
            <w:r>
              <w:rPr>
                <w:rFonts w:eastAsiaTheme="minorEastAsia"/>
                <w:szCs w:val="21"/>
              </w:rPr>
              <w:t>CA6140普通车床控制线路连接实验（综合性训练项目）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Merge w:val="continue"/>
            <w:vAlign w:val="center"/>
          </w:tcPr>
          <w:p>
            <w:pPr>
              <w:spacing w:line="320" w:lineRule="exact"/>
              <w:jc w:val="center"/>
              <w:rPr>
                <w:rFonts w:eastAsiaTheme="minorEastAsia"/>
                <w:szCs w:val="21"/>
              </w:rPr>
            </w:pPr>
          </w:p>
        </w:tc>
        <w:tc>
          <w:tcPr>
            <w:tcW w:w="491" w:type="pct"/>
            <w:vMerge w:val="continue"/>
            <w:vAlign w:val="center"/>
          </w:tcPr>
          <w:p>
            <w:pPr>
              <w:spacing w:line="320" w:lineRule="exact"/>
              <w:jc w:val="center"/>
              <w:rPr>
                <w:rFonts w:eastAsiaTheme="minorEastAsia"/>
                <w:szCs w:val="21"/>
              </w:rPr>
            </w:pPr>
          </w:p>
        </w:tc>
        <w:tc>
          <w:tcPr>
            <w:tcW w:w="4097" w:type="pct"/>
            <w:vAlign w:val="center"/>
          </w:tcPr>
          <w:p>
            <w:pPr>
              <w:spacing w:line="320" w:lineRule="exact"/>
              <w:jc w:val="left"/>
              <w:rPr>
                <w:rFonts w:eastAsiaTheme="minorEastAsia"/>
                <w:szCs w:val="21"/>
              </w:rPr>
            </w:pPr>
            <w:r>
              <w:rPr>
                <w:rFonts w:eastAsiaTheme="minorEastAsia"/>
                <w:szCs w:val="21"/>
              </w:rPr>
              <w:t>X62W万能铣床控制线路连接实验（综合性训练项目）</w:t>
            </w:r>
          </w:p>
        </w:tc>
      </w:tr>
    </w:tbl>
    <w:p>
      <w:pPr>
        <w:rPr>
          <w:rFonts w:cs="宋体" w:asciiTheme="minorEastAsia" w:hAnsiTheme="minorEastAsia" w:eastAsiaTheme="minorEastAsia"/>
          <w:sz w:val="28"/>
          <w:szCs w:val="28"/>
        </w:rPr>
      </w:pPr>
    </w:p>
    <w:p>
      <w:pPr>
        <w:ind w:firstLine="241" w:firstLineChars="100"/>
        <w:outlineLvl w:val="2"/>
        <w:rPr>
          <w:rFonts w:asciiTheme="minorEastAsia" w:hAnsiTheme="minorEastAsia" w:eastAsiaTheme="minorEastAsia"/>
          <w:b/>
          <w:bCs/>
          <w:sz w:val="24"/>
        </w:rPr>
      </w:pPr>
      <w:r>
        <w:rPr>
          <w:rFonts w:hint="eastAsia" w:cs="宋体" w:asciiTheme="minorEastAsia" w:hAnsiTheme="minorEastAsia" w:eastAsiaTheme="minorEastAsia"/>
          <w:b/>
          <w:bCs/>
          <w:sz w:val="24"/>
        </w:rPr>
        <w:t>（六）三相鼠笼式异步电动机</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837"/>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12" w:type="pct"/>
            <w:vAlign w:val="center"/>
          </w:tcPr>
          <w:p>
            <w:pPr>
              <w:jc w:val="center"/>
              <w:rPr>
                <w:rFonts w:eastAsiaTheme="minorEastAsia"/>
                <w:szCs w:val="21"/>
              </w:rPr>
            </w:pPr>
            <w:r>
              <w:rPr>
                <w:rFonts w:eastAsiaTheme="minorEastAsia"/>
                <w:b/>
                <w:bCs/>
                <w:szCs w:val="21"/>
              </w:rPr>
              <w:t>序号</w:t>
            </w:r>
          </w:p>
        </w:tc>
        <w:tc>
          <w:tcPr>
            <w:tcW w:w="491" w:type="pct"/>
            <w:vAlign w:val="center"/>
          </w:tcPr>
          <w:p>
            <w:pPr>
              <w:jc w:val="center"/>
              <w:rPr>
                <w:rFonts w:eastAsiaTheme="minorEastAsia"/>
                <w:szCs w:val="21"/>
              </w:rPr>
            </w:pPr>
            <w:r>
              <w:rPr>
                <w:rFonts w:eastAsiaTheme="minorEastAsia"/>
                <w:b/>
                <w:bCs/>
                <w:szCs w:val="21"/>
              </w:rPr>
              <w:t>名称</w:t>
            </w:r>
          </w:p>
        </w:tc>
        <w:tc>
          <w:tcPr>
            <w:tcW w:w="4097" w:type="pct"/>
            <w:vAlign w:val="center"/>
          </w:tcPr>
          <w:p>
            <w:pPr>
              <w:jc w:val="center"/>
              <w:rPr>
                <w:rFonts w:eastAsiaTheme="minorEastAsia"/>
                <w:szCs w:val="21"/>
              </w:rPr>
            </w:pPr>
            <w:r>
              <w:rPr>
                <w:rFonts w:eastAsiaTheme="minorEastAsia"/>
                <w:b/>
                <w:bCs/>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412" w:type="pct"/>
            <w:vMerge w:val="restart"/>
            <w:vAlign w:val="center"/>
          </w:tcPr>
          <w:p>
            <w:pPr>
              <w:jc w:val="center"/>
              <w:rPr>
                <w:rFonts w:eastAsiaTheme="minorEastAsia"/>
                <w:szCs w:val="21"/>
              </w:rPr>
            </w:pPr>
            <w:r>
              <w:rPr>
                <w:rFonts w:eastAsiaTheme="minorEastAsia"/>
                <w:szCs w:val="21"/>
              </w:rPr>
              <w:t>1</w:t>
            </w:r>
          </w:p>
        </w:tc>
        <w:tc>
          <w:tcPr>
            <w:tcW w:w="491" w:type="pct"/>
            <w:vMerge w:val="restart"/>
            <w:vAlign w:val="center"/>
          </w:tcPr>
          <w:p>
            <w:pPr>
              <w:jc w:val="center"/>
              <w:rPr>
                <w:rFonts w:eastAsiaTheme="minorEastAsia"/>
                <w:szCs w:val="21"/>
              </w:rPr>
            </w:pPr>
            <w:r>
              <w:rPr>
                <w:rFonts w:eastAsiaTheme="minorEastAsia"/>
                <w:szCs w:val="21"/>
              </w:rPr>
              <w:t>三相鼠笼式异步电动机</w:t>
            </w:r>
          </w:p>
        </w:tc>
        <w:tc>
          <w:tcPr>
            <w:tcW w:w="4097" w:type="pct"/>
            <w:vAlign w:val="center"/>
          </w:tcPr>
          <w:p>
            <w:pPr>
              <w:jc w:val="left"/>
              <w:rPr>
                <w:rFonts w:eastAsiaTheme="minorEastAsia"/>
                <w:szCs w:val="21"/>
              </w:rPr>
            </w:pPr>
            <w:r>
              <w:rPr>
                <w:rFonts w:eastAsiaTheme="minorEastAsia"/>
                <w:szCs w:val="21"/>
              </w:rPr>
              <w:t>接法：380V/</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12" w:type="pct"/>
            <w:vMerge w:val="continue"/>
            <w:vAlign w:val="center"/>
          </w:tcPr>
          <w:p>
            <w:pPr>
              <w:jc w:val="center"/>
              <w:rPr>
                <w:rFonts w:eastAsiaTheme="minorEastAsia"/>
                <w:szCs w:val="21"/>
              </w:rPr>
            </w:pPr>
          </w:p>
        </w:tc>
        <w:tc>
          <w:tcPr>
            <w:tcW w:w="491" w:type="pct"/>
            <w:vMerge w:val="continue"/>
            <w:vAlign w:val="center"/>
          </w:tcPr>
          <w:p>
            <w:pPr>
              <w:jc w:val="center"/>
              <w:rPr>
                <w:rFonts w:eastAsiaTheme="minorEastAsia"/>
                <w:szCs w:val="21"/>
              </w:rPr>
            </w:pPr>
          </w:p>
        </w:tc>
        <w:tc>
          <w:tcPr>
            <w:tcW w:w="4097" w:type="pct"/>
            <w:vAlign w:val="center"/>
          </w:tcPr>
          <w:p>
            <w:pPr>
              <w:jc w:val="left"/>
              <w:rPr>
                <w:rFonts w:eastAsiaTheme="minorEastAsia"/>
                <w:szCs w:val="21"/>
              </w:rPr>
            </w:pPr>
            <w:r>
              <w:rPr>
                <w:rFonts w:eastAsiaTheme="minorEastAsia"/>
                <w:szCs w:val="21"/>
              </w:rPr>
              <w:t>要求电机的绕组均引出，方便接线。</w:t>
            </w:r>
          </w:p>
        </w:tc>
      </w:tr>
    </w:tbl>
    <w:p>
      <w:pPr>
        <w:rPr>
          <w:rFonts w:asciiTheme="minorEastAsia" w:hAnsiTheme="minorEastAsia" w:eastAsiaTheme="minorEastAsia"/>
        </w:rPr>
      </w:pPr>
    </w:p>
    <w:p>
      <w:pPr>
        <w:ind w:firstLine="241" w:firstLineChars="100"/>
        <w:outlineLvl w:val="2"/>
        <w:rPr>
          <w:rFonts w:asciiTheme="minorEastAsia" w:hAnsiTheme="minorEastAsia" w:eastAsiaTheme="minorEastAsia"/>
          <w:b/>
          <w:bCs/>
          <w:sz w:val="24"/>
        </w:rPr>
      </w:pPr>
      <w:r>
        <w:rPr>
          <w:rFonts w:hint="eastAsia" w:cs="宋体" w:asciiTheme="minorEastAsia" w:hAnsiTheme="minorEastAsia" w:eastAsiaTheme="minorEastAsia"/>
          <w:b/>
          <w:bCs/>
          <w:sz w:val="24"/>
        </w:rPr>
        <w:t>（七）三相鼠笼式异步电动机（带速度继电器）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837"/>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412" w:type="pct"/>
            <w:vAlign w:val="center"/>
          </w:tcPr>
          <w:p>
            <w:pPr>
              <w:jc w:val="center"/>
              <w:rPr>
                <w:rFonts w:eastAsiaTheme="minorEastAsia"/>
                <w:szCs w:val="21"/>
              </w:rPr>
            </w:pPr>
            <w:r>
              <w:rPr>
                <w:rFonts w:eastAsiaTheme="minorEastAsia"/>
                <w:b/>
                <w:bCs/>
                <w:szCs w:val="21"/>
              </w:rPr>
              <w:t>序号</w:t>
            </w:r>
          </w:p>
        </w:tc>
        <w:tc>
          <w:tcPr>
            <w:tcW w:w="491" w:type="pct"/>
            <w:vAlign w:val="center"/>
          </w:tcPr>
          <w:p>
            <w:pPr>
              <w:jc w:val="center"/>
              <w:rPr>
                <w:rFonts w:eastAsiaTheme="minorEastAsia"/>
                <w:szCs w:val="21"/>
              </w:rPr>
            </w:pPr>
            <w:r>
              <w:rPr>
                <w:rFonts w:eastAsiaTheme="minorEastAsia"/>
                <w:b/>
                <w:bCs/>
                <w:szCs w:val="21"/>
              </w:rPr>
              <w:t>名称</w:t>
            </w:r>
          </w:p>
        </w:tc>
        <w:tc>
          <w:tcPr>
            <w:tcW w:w="4097" w:type="pct"/>
            <w:vAlign w:val="center"/>
          </w:tcPr>
          <w:p>
            <w:pPr>
              <w:jc w:val="center"/>
              <w:rPr>
                <w:rFonts w:eastAsiaTheme="minorEastAsia"/>
                <w:szCs w:val="21"/>
              </w:rPr>
            </w:pPr>
            <w:r>
              <w:rPr>
                <w:rFonts w:eastAsiaTheme="minorEastAsia"/>
                <w:b/>
                <w:bCs/>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12" w:type="pct"/>
            <w:vMerge w:val="restart"/>
            <w:vAlign w:val="center"/>
          </w:tcPr>
          <w:p>
            <w:pPr>
              <w:jc w:val="center"/>
              <w:rPr>
                <w:rFonts w:eastAsiaTheme="minorEastAsia"/>
                <w:szCs w:val="21"/>
              </w:rPr>
            </w:pPr>
            <w:r>
              <w:rPr>
                <w:rFonts w:eastAsiaTheme="minorEastAsia"/>
                <w:szCs w:val="21"/>
              </w:rPr>
              <w:t>1</w:t>
            </w:r>
          </w:p>
        </w:tc>
        <w:tc>
          <w:tcPr>
            <w:tcW w:w="491" w:type="pct"/>
            <w:vMerge w:val="restart"/>
            <w:vAlign w:val="center"/>
          </w:tcPr>
          <w:p>
            <w:pPr>
              <w:jc w:val="center"/>
              <w:rPr>
                <w:rFonts w:eastAsiaTheme="minorEastAsia"/>
                <w:szCs w:val="21"/>
              </w:rPr>
            </w:pPr>
            <w:r>
              <w:rPr>
                <w:rFonts w:eastAsiaTheme="minorEastAsia"/>
                <w:szCs w:val="21"/>
              </w:rPr>
              <w:t>三相鼠笼式异步电动机</w:t>
            </w:r>
          </w:p>
        </w:tc>
        <w:tc>
          <w:tcPr>
            <w:tcW w:w="4097" w:type="pct"/>
            <w:vAlign w:val="center"/>
          </w:tcPr>
          <w:p>
            <w:pPr>
              <w:jc w:val="left"/>
              <w:rPr>
                <w:rFonts w:eastAsiaTheme="minorEastAsia"/>
                <w:szCs w:val="21"/>
              </w:rPr>
            </w:pPr>
            <w:r>
              <w:rPr>
                <w:rFonts w:eastAsiaTheme="minorEastAsia"/>
                <w:szCs w:val="21"/>
              </w:rPr>
              <w:t>接法：380V/Y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12" w:type="pct"/>
            <w:vMerge w:val="continue"/>
            <w:vAlign w:val="center"/>
          </w:tcPr>
          <w:p>
            <w:pPr>
              <w:jc w:val="center"/>
              <w:rPr>
                <w:rFonts w:eastAsiaTheme="minorEastAsia"/>
                <w:szCs w:val="21"/>
              </w:rPr>
            </w:pPr>
          </w:p>
        </w:tc>
        <w:tc>
          <w:tcPr>
            <w:tcW w:w="491" w:type="pct"/>
            <w:vMerge w:val="continue"/>
            <w:vAlign w:val="center"/>
          </w:tcPr>
          <w:p>
            <w:pPr>
              <w:jc w:val="center"/>
              <w:rPr>
                <w:rFonts w:eastAsiaTheme="minorEastAsia"/>
                <w:szCs w:val="21"/>
              </w:rPr>
            </w:pPr>
          </w:p>
        </w:tc>
        <w:tc>
          <w:tcPr>
            <w:tcW w:w="4097" w:type="pct"/>
            <w:vAlign w:val="center"/>
          </w:tcPr>
          <w:p>
            <w:pPr>
              <w:jc w:val="left"/>
              <w:rPr>
                <w:rFonts w:eastAsiaTheme="minorEastAsia"/>
                <w:szCs w:val="21"/>
              </w:rPr>
            </w:pPr>
            <w:r>
              <w:rPr>
                <w:rFonts w:eastAsiaTheme="minorEastAsia"/>
                <w:szCs w:val="21"/>
              </w:rPr>
              <w:t>要求带速度继电器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jc w:val="center"/>
        </w:trPr>
        <w:tc>
          <w:tcPr>
            <w:tcW w:w="412" w:type="pct"/>
            <w:vMerge w:val="continue"/>
            <w:vAlign w:val="center"/>
          </w:tcPr>
          <w:p>
            <w:pPr>
              <w:jc w:val="center"/>
              <w:rPr>
                <w:rFonts w:eastAsiaTheme="minorEastAsia"/>
                <w:szCs w:val="21"/>
              </w:rPr>
            </w:pPr>
          </w:p>
        </w:tc>
        <w:tc>
          <w:tcPr>
            <w:tcW w:w="491" w:type="pct"/>
            <w:vMerge w:val="continue"/>
            <w:vAlign w:val="center"/>
          </w:tcPr>
          <w:p>
            <w:pPr>
              <w:jc w:val="center"/>
              <w:rPr>
                <w:rFonts w:eastAsiaTheme="minorEastAsia"/>
                <w:szCs w:val="21"/>
              </w:rPr>
            </w:pPr>
          </w:p>
        </w:tc>
        <w:tc>
          <w:tcPr>
            <w:tcW w:w="4097" w:type="pct"/>
            <w:vAlign w:val="center"/>
          </w:tcPr>
          <w:p>
            <w:pPr>
              <w:jc w:val="left"/>
              <w:rPr>
                <w:rFonts w:eastAsiaTheme="minorEastAsia"/>
                <w:szCs w:val="21"/>
              </w:rPr>
            </w:pPr>
            <w:r>
              <w:rPr>
                <w:rFonts w:eastAsiaTheme="minorEastAsia"/>
                <w:szCs w:val="21"/>
              </w:rPr>
              <w:t>要求电机的绕组均引出，方便接线。</w:t>
            </w:r>
          </w:p>
        </w:tc>
      </w:tr>
    </w:tbl>
    <w:p>
      <w:pPr>
        <w:rPr>
          <w:rFonts w:asciiTheme="minorEastAsia" w:hAnsiTheme="minorEastAsia" w:eastAsiaTheme="minorEastAsia"/>
        </w:rPr>
      </w:pPr>
    </w:p>
    <w:p>
      <w:pPr>
        <w:ind w:firstLine="120" w:firstLineChars="50"/>
        <w:outlineLvl w:val="2"/>
        <w:rPr>
          <w:rFonts w:asciiTheme="minorEastAsia" w:hAnsiTheme="minorEastAsia" w:eastAsiaTheme="minorEastAsia"/>
          <w:b/>
          <w:bCs/>
          <w:sz w:val="24"/>
        </w:rPr>
      </w:pPr>
      <w:r>
        <w:rPr>
          <w:rFonts w:hint="eastAsia" w:cs="宋体" w:asciiTheme="minorEastAsia" w:hAnsiTheme="minorEastAsia" w:eastAsiaTheme="minorEastAsia"/>
          <w:b/>
          <w:bCs/>
          <w:sz w:val="24"/>
        </w:rPr>
        <w:t>（八）三相双速异步电动机</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883"/>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412" w:type="pct"/>
            <w:vAlign w:val="center"/>
          </w:tcPr>
          <w:p>
            <w:pPr>
              <w:jc w:val="center"/>
              <w:rPr>
                <w:rFonts w:eastAsiaTheme="minorEastAsia"/>
                <w:b/>
                <w:bCs/>
                <w:szCs w:val="21"/>
              </w:rPr>
            </w:pPr>
            <w:r>
              <w:rPr>
                <w:rFonts w:eastAsiaTheme="minorEastAsia"/>
                <w:b/>
                <w:bCs/>
                <w:szCs w:val="21"/>
              </w:rPr>
              <w:t>序号</w:t>
            </w:r>
          </w:p>
        </w:tc>
        <w:tc>
          <w:tcPr>
            <w:tcW w:w="518" w:type="pct"/>
            <w:vAlign w:val="center"/>
          </w:tcPr>
          <w:p>
            <w:pPr>
              <w:jc w:val="center"/>
              <w:rPr>
                <w:rFonts w:eastAsiaTheme="minorEastAsia"/>
                <w:b/>
                <w:bCs/>
                <w:szCs w:val="21"/>
              </w:rPr>
            </w:pPr>
            <w:r>
              <w:rPr>
                <w:rFonts w:eastAsiaTheme="minorEastAsia"/>
                <w:b/>
                <w:bCs/>
                <w:szCs w:val="21"/>
              </w:rPr>
              <w:t>名称</w:t>
            </w:r>
          </w:p>
        </w:tc>
        <w:tc>
          <w:tcPr>
            <w:tcW w:w="4070" w:type="pct"/>
            <w:vAlign w:val="center"/>
          </w:tcPr>
          <w:p>
            <w:pPr>
              <w:jc w:val="center"/>
              <w:rPr>
                <w:rFonts w:eastAsiaTheme="minorEastAsia"/>
                <w:b/>
                <w:bCs/>
                <w:szCs w:val="21"/>
              </w:rPr>
            </w:pPr>
            <w:r>
              <w:rPr>
                <w:rFonts w:eastAsiaTheme="minorEastAsia"/>
                <w:b/>
                <w:bCs/>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12" w:type="pct"/>
            <w:vMerge w:val="restart"/>
            <w:vAlign w:val="center"/>
          </w:tcPr>
          <w:p>
            <w:pPr>
              <w:jc w:val="center"/>
              <w:rPr>
                <w:rFonts w:eastAsiaTheme="minorEastAsia"/>
                <w:szCs w:val="21"/>
              </w:rPr>
            </w:pPr>
            <w:r>
              <w:rPr>
                <w:rFonts w:eastAsiaTheme="minorEastAsia"/>
                <w:szCs w:val="21"/>
              </w:rPr>
              <w:t>1</w:t>
            </w:r>
          </w:p>
        </w:tc>
        <w:tc>
          <w:tcPr>
            <w:tcW w:w="518" w:type="pct"/>
            <w:vMerge w:val="restart"/>
            <w:vAlign w:val="center"/>
          </w:tcPr>
          <w:p>
            <w:pPr>
              <w:jc w:val="center"/>
              <w:rPr>
                <w:rFonts w:eastAsiaTheme="minorEastAsia"/>
                <w:szCs w:val="21"/>
              </w:rPr>
            </w:pPr>
            <w:r>
              <w:rPr>
                <w:rFonts w:eastAsiaTheme="minorEastAsia"/>
                <w:szCs w:val="21"/>
              </w:rPr>
              <w:t>三相双速异步电动机</w:t>
            </w:r>
          </w:p>
        </w:tc>
        <w:tc>
          <w:tcPr>
            <w:tcW w:w="4070" w:type="pct"/>
            <w:vAlign w:val="center"/>
          </w:tcPr>
          <w:p>
            <w:pPr>
              <w:jc w:val="left"/>
              <w:rPr>
                <w:rFonts w:eastAsiaTheme="minorEastAsia"/>
                <w:szCs w:val="21"/>
              </w:rPr>
            </w:pPr>
            <w:r>
              <w:rPr>
                <w:rFonts w:eastAsiaTheme="minorEastAsia"/>
                <w:szCs w:val="21"/>
              </w:rPr>
              <w:t>接法：380V/YY/</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412" w:type="pct"/>
            <w:vMerge w:val="continue"/>
            <w:vAlign w:val="center"/>
          </w:tcPr>
          <w:p>
            <w:pPr>
              <w:jc w:val="center"/>
              <w:rPr>
                <w:rFonts w:eastAsiaTheme="minorEastAsia"/>
                <w:szCs w:val="21"/>
              </w:rPr>
            </w:pPr>
          </w:p>
        </w:tc>
        <w:tc>
          <w:tcPr>
            <w:tcW w:w="518" w:type="pct"/>
            <w:vMerge w:val="continue"/>
            <w:vAlign w:val="center"/>
          </w:tcPr>
          <w:p>
            <w:pPr>
              <w:jc w:val="center"/>
              <w:rPr>
                <w:rFonts w:eastAsiaTheme="minorEastAsia"/>
                <w:szCs w:val="21"/>
              </w:rPr>
            </w:pPr>
          </w:p>
        </w:tc>
        <w:tc>
          <w:tcPr>
            <w:tcW w:w="4070" w:type="pct"/>
            <w:vAlign w:val="center"/>
          </w:tcPr>
          <w:p>
            <w:pPr>
              <w:jc w:val="left"/>
              <w:rPr>
                <w:rFonts w:eastAsiaTheme="minorEastAsia"/>
                <w:szCs w:val="21"/>
              </w:rPr>
            </w:pPr>
            <w:r>
              <w:rPr>
                <w:rFonts w:eastAsiaTheme="minorEastAsia"/>
                <w:szCs w:val="21"/>
              </w:rPr>
              <w:t>要求电机的绕组均引出，方便接线。</w:t>
            </w:r>
          </w:p>
        </w:tc>
      </w:tr>
    </w:tbl>
    <w:p>
      <w:pPr>
        <w:rPr>
          <w:rFonts w:asciiTheme="minorEastAsia" w:hAnsiTheme="minorEastAsia" w:eastAsiaTheme="minorEastAsia"/>
        </w:rPr>
      </w:pPr>
    </w:p>
    <w:p>
      <w:pPr>
        <w:ind w:firstLine="120" w:firstLineChars="50"/>
        <w:outlineLvl w:val="2"/>
        <w:rPr>
          <w:rFonts w:asciiTheme="minorEastAsia" w:hAnsiTheme="minorEastAsia" w:eastAsiaTheme="minorEastAsia"/>
          <w:b/>
          <w:bCs/>
          <w:sz w:val="24"/>
        </w:rPr>
      </w:pPr>
      <w:r>
        <w:rPr>
          <w:rFonts w:hint="eastAsia" w:cs="宋体" w:asciiTheme="minorEastAsia" w:hAnsiTheme="minorEastAsia" w:eastAsiaTheme="minorEastAsia"/>
          <w:b/>
          <w:bCs/>
          <w:sz w:val="24"/>
        </w:rPr>
        <w:t>（九）电子创新设计实验模块</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116"/>
        <w:gridCol w:w="6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412" w:type="pct"/>
            <w:vAlign w:val="center"/>
          </w:tcPr>
          <w:p>
            <w:pPr>
              <w:jc w:val="center"/>
              <w:rPr>
                <w:b/>
                <w:bCs/>
                <w:szCs w:val="21"/>
              </w:rPr>
            </w:pPr>
            <w:r>
              <w:rPr>
                <w:b/>
                <w:bCs/>
                <w:szCs w:val="21"/>
              </w:rPr>
              <w:t>序号</w:t>
            </w:r>
          </w:p>
        </w:tc>
        <w:tc>
          <w:tcPr>
            <w:tcW w:w="655" w:type="pct"/>
            <w:vAlign w:val="center"/>
          </w:tcPr>
          <w:p>
            <w:pPr>
              <w:jc w:val="center"/>
              <w:rPr>
                <w:b/>
                <w:bCs/>
                <w:szCs w:val="21"/>
              </w:rPr>
            </w:pPr>
            <w:r>
              <w:rPr>
                <w:b/>
                <w:bCs/>
                <w:szCs w:val="21"/>
              </w:rPr>
              <w:t>名称</w:t>
            </w:r>
          </w:p>
        </w:tc>
        <w:tc>
          <w:tcPr>
            <w:tcW w:w="3933" w:type="pct"/>
            <w:vAlign w:val="center"/>
          </w:tcPr>
          <w:p>
            <w:pPr>
              <w:jc w:val="center"/>
              <w:rPr>
                <w:b/>
                <w:bCs/>
                <w:szCs w:val="21"/>
              </w:rPr>
            </w:pPr>
            <w:r>
              <w:rPr>
                <w:b/>
                <w:bCs/>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412" w:type="pct"/>
            <w:vMerge w:val="restart"/>
            <w:vAlign w:val="center"/>
          </w:tcPr>
          <w:p>
            <w:pPr>
              <w:jc w:val="center"/>
              <w:rPr>
                <w:szCs w:val="21"/>
              </w:rPr>
            </w:pPr>
            <w:r>
              <w:rPr>
                <w:szCs w:val="21"/>
              </w:rPr>
              <w:t>1</w:t>
            </w:r>
          </w:p>
        </w:tc>
        <w:tc>
          <w:tcPr>
            <w:tcW w:w="655" w:type="pct"/>
            <w:vMerge w:val="restart"/>
            <w:vAlign w:val="center"/>
          </w:tcPr>
          <w:p>
            <w:pPr>
              <w:jc w:val="center"/>
              <w:rPr>
                <w:szCs w:val="21"/>
              </w:rPr>
            </w:pPr>
            <w:r>
              <w:rPr>
                <w:szCs w:val="21"/>
              </w:rPr>
              <w:t>技术性能要求</w:t>
            </w:r>
          </w:p>
        </w:tc>
        <w:tc>
          <w:tcPr>
            <w:tcW w:w="3933" w:type="pct"/>
            <w:vAlign w:val="center"/>
          </w:tcPr>
          <w:p>
            <w:pPr>
              <w:jc w:val="left"/>
              <w:rPr>
                <w:szCs w:val="21"/>
              </w:rPr>
            </w:pPr>
            <w:r>
              <w:rPr>
                <w:szCs w:val="21"/>
              </w:rPr>
              <w:t>实验模块要求使用者能够观察到内部元件形状和接线方式，便于教师讲解和学生认识；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412" w:type="pct"/>
            <w:vMerge w:val="continue"/>
            <w:vAlign w:val="center"/>
          </w:tcPr>
          <w:p>
            <w:pPr>
              <w:jc w:val="center"/>
              <w:rPr>
                <w:szCs w:val="21"/>
              </w:rPr>
            </w:pPr>
          </w:p>
        </w:tc>
        <w:tc>
          <w:tcPr>
            <w:tcW w:w="655" w:type="pct"/>
            <w:vMerge w:val="continue"/>
            <w:vAlign w:val="center"/>
          </w:tcPr>
          <w:p>
            <w:pPr>
              <w:jc w:val="center"/>
              <w:rPr>
                <w:szCs w:val="21"/>
              </w:rPr>
            </w:pPr>
          </w:p>
        </w:tc>
        <w:tc>
          <w:tcPr>
            <w:tcW w:w="3933" w:type="pct"/>
            <w:vAlign w:val="center"/>
          </w:tcPr>
          <w:p>
            <w:pPr>
              <w:jc w:val="left"/>
              <w:rPr>
                <w:szCs w:val="21"/>
              </w:rPr>
            </w:pPr>
            <w:r>
              <w:rPr>
                <w:szCs w:val="21"/>
              </w:rPr>
              <w:t>实验模块面板要求采用PCB板制作而成，表面清爽、符号线路清晰、表面耐磨损、元件更换容易；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412" w:type="pct"/>
            <w:vMerge w:val="continue"/>
            <w:vAlign w:val="center"/>
          </w:tcPr>
          <w:p>
            <w:pPr>
              <w:jc w:val="center"/>
              <w:rPr>
                <w:szCs w:val="21"/>
              </w:rPr>
            </w:pPr>
          </w:p>
        </w:tc>
        <w:tc>
          <w:tcPr>
            <w:tcW w:w="655" w:type="pct"/>
            <w:vMerge w:val="continue"/>
            <w:vAlign w:val="center"/>
          </w:tcPr>
          <w:p>
            <w:pPr>
              <w:jc w:val="center"/>
              <w:rPr>
                <w:szCs w:val="21"/>
              </w:rPr>
            </w:pPr>
          </w:p>
        </w:tc>
        <w:tc>
          <w:tcPr>
            <w:tcW w:w="3933" w:type="pct"/>
            <w:vAlign w:val="center"/>
          </w:tcPr>
          <w:p>
            <w:pPr>
              <w:jc w:val="left"/>
              <w:rPr>
                <w:szCs w:val="21"/>
              </w:rPr>
            </w:pPr>
            <w:r>
              <w:rPr>
                <w:szCs w:val="21"/>
              </w:rPr>
              <w:t>面板上标志的元件电路符号采用最新国家标准，具有整体结构紧凑、外形美观大方、安装简单、使用保管方便等特点。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412" w:type="pct"/>
            <w:vAlign w:val="center"/>
          </w:tcPr>
          <w:p>
            <w:pPr>
              <w:jc w:val="center"/>
              <w:rPr>
                <w:szCs w:val="21"/>
              </w:rPr>
            </w:pPr>
            <w:r>
              <w:rPr>
                <w:szCs w:val="21"/>
              </w:rPr>
              <w:t>2</w:t>
            </w:r>
          </w:p>
        </w:tc>
        <w:tc>
          <w:tcPr>
            <w:tcW w:w="655" w:type="pct"/>
            <w:vAlign w:val="center"/>
          </w:tcPr>
          <w:p>
            <w:pPr>
              <w:jc w:val="center"/>
              <w:rPr>
                <w:szCs w:val="21"/>
              </w:rPr>
            </w:pPr>
            <w:r>
              <w:rPr>
                <w:szCs w:val="21"/>
              </w:rPr>
              <w:t>电子创新设计实验模块</w:t>
            </w:r>
          </w:p>
        </w:tc>
        <w:tc>
          <w:tcPr>
            <w:tcW w:w="3933" w:type="pct"/>
            <w:vAlign w:val="center"/>
          </w:tcPr>
          <w:p>
            <w:pPr>
              <w:jc w:val="left"/>
              <w:rPr>
                <w:szCs w:val="21"/>
                <w:highlight w:val="magenta"/>
              </w:rPr>
            </w:pPr>
            <w:r>
              <w:rPr>
                <w:szCs w:val="21"/>
              </w:rPr>
              <w:t>要求提供各种电阻器、电容器、电位器、电感器、稳压二极管、整流二极管、三极管、场效应管、晶闸管、复位按钮开关、钮子开关、基本表头、LED灯、集成芯片插座、继电器驱动电路、交通灯电路、面包板等电子创新设计实验模块。</w:t>
            </w:r>
            <w:r>
              <w:rPr>
                <w:b/>
                <w:bCs/>
                <w:szCs w:val="21"/>
              </w:rPr>
              <w:t>要求提供模块清单。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2" w:type="pct"/>
            <w:vMerge w:val="restart"/>
            <w:vAlign w:val="center"/>
          </w:tcPr>
          <w:p>
            <w:pPr>
              <w:spacing w:line="240" w:lineRule="exact"/>
              <w:jc w:val="center"/>
              <w:rPr>
                <w:szCs w:val="21"/>
              </w:rPr>
            </w:pPr>
            <w:r>
              <w:rPr>
                <w:szCs w:val="21"/>
              </w:rPr>
              <w:t>3</w:t>
            </w:r>
          </w:p>
        </w:tc>
        <w:tc>
          <w:tcPr>
            <w:tcW w:w="655" w:type="pct"/>
            <w:vMerge w:val="restart"/>
            <w:vAlign w:val="center"/>
          </w:tcPr>
          <w:p>
            <w:pPr>
              <w:spacing w:line="240" w:lineRule="exact"/>
              <w:jc w:val="center"/>
              <w:rPr>
                <w:szCs w:val="21"/>
              </w:rPr>
            </w:pPr>
            <w:r>
              <w:rPr>
                <w:szCs w:val="21"/>
              </w:rPr>
              <w:t>应完成的实验项目</w:t>
            </w:r>
          </w:p>
        </w:tc>
        <w:tc>
          <w:tcPr>
            <w:tcW w:w="3933" w:type="pct"/>
            <w:vAlign w:val="center"/>
          </w:tcPr>
          <w:p>
            <w:pPr>
              <w:spacing w:line="240" w:lineRule="exact"/>
              <w:jc w:val="left"/>
              <w:rPr>
                <w:szCs w:val="21"/>
              </w:rPr>
            </w:pPr>
            <w:r>
              <w:rPr>
                <w:szCs w:val="21"/>
              </w:rPr>
              <w:t>要求能完成以下实验项目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2" w:type="pct"/>
            <w:vMerge w:val="continue"/>
            <w:vAlign w:val="center"/>
          </w:tcPr>
          <w:p>
            <w:pPr>
              <w:spacing w:line="240" w:lineRule="exact"/>
              <w:jc w:val="center"/>
              <w:rPr>
                <w:szCs w:val="21"/>
              </w:rPr>
            </w:pPr>
          </w:p>
        </w:tc>
        <w:tc>
          <w:tcPr>
            <w:tcW w:w="655" w:type="pct"/>
            <w:vMerge w:val="continue"/>
            <w:vAlign w:val="center"/>
          </w:tcPr>
          <w:p>
            <w:pPr>
              <w:spacing w:line="240" w:lineRule="exact"/>
              <w:jc w:val="center"/>
              <w:rPr>
                <w:szCs w:val="21"/>
              </w:rPr>
            </w:pPr>
          </w:p>
        </w:tc>
        <w:tc>
          <w:tcPr>
            <w:tcW w:w="3933" w:type="pct"/>
            <w:vAlign w:val="center"/>
          </w:tcPr>
          <w:p>
            <w:pPr>
              <w:spacing w:line="240" w:lineRule="exact"/>
              <w:jc w:val="left"/>
              <w:rPr>
                <w:szCs w:val="21"/>
              </w:rPr>
            </w:pPr>
            <w:r>
              <w:rPr>
                <w:szCs w:val="21"/>
              </w:rPr>
              <w:t>声光控制节能路灯电路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2" w:type="pct"/>
            <w:vMerge w:val="continue"/>
            <w:vAlign w:val="center"/>
          </w:tcPr>
          <w:p>
            <w:pPr>
              <w:spacing w:line="240" w:lineRule="exact"/>
              <w:jc w:val="center"/>
              <w:rPr>
                <w:szCs w:val="21"/>
              </w:rPr>
            </w:pPr>
          </w:p>
        </w:tc>
        <w:tc>
          <w:tcPr>
            <w:tcW w:w="655" w:type="pct"/>
            <w:vMerge w:val="continue"/>
            <w:vAlign w:val="center"/>
          </w:tcPr>
          <w:p>
            <w:pPr>
              <w:spacing w:line="240" w:lineRule="exact"/>
              <w:jc w:val="center"/>
              <w:rPr>
                <w:szCs w:val="21"/>
              </w:rPr>
            </w:pPr>
          </w:p>
        </w:tc>
        <w:tc>
          <w:tcPr>
            <w:tcW w:w="3933" w:type="pct"/>
            <w:vAlign w:val="center"/>
          </w:tcPr>
          <w:p>
            <w:pPr>
              <w:spacing w:line="240" w:lineRule="exact"/>
              <w:jc w:val="left"/>
              <w:rPr>
                <w:szCs w:val="21"/>
              </w:rPr>
            </w:pPr>
            <w:r>
              <w:rPr>
                <w:szCs w:val="21"/>
              </w:rPr>
              <w:t>8线数据传输电路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2" w:type="pct"/>
            <w:vMerge w:val="continue"/>
            <w:vAlign w:val="center"/>
          </w:tcPr>
          <w:p>
            <w:pPr>
              <w:spacing w:line="240" w:lineRule="exact"/>
              <w:jc w:val="center"/>
              <w:rPr>
                <w:szCs w:val="21"/>
              </w:rPr>
            </w:pPr>
          </w:p>
        </w:tc>
        <w:tc>
          <w:tcPr>
            <w:tcW w:w="655" w:type="pct"/>
            <w:vMerge w:val="continue"/>
            <w:vAlign w:val="center"/>
          </w:tcPr>
          <w:p>
            <w:pPr>
              <w:spacing w:line="240" w:lineRule="exact"/>
              <w:jc w:val="center"/>
              <w:rPr>
                <w:szCs w:val="21"/>
              </w:rPr>
            </w:pPr>
          </w:p>
        </w:tc>
        <w:tc>
          <w:tcPr>
            <w:tcW w:w="3933" w:type="pct"/>
            <w:vAlign w:val="center"/>
          </w:tcPr>
          <w:p>
            <w:pPr>
              <w:spacing w:line="240" w:lineRule="exact"/>
              <w:jc w:val="left"/>
              <w:rPr>
                <w:szCs w:val="21"/>
              </w:rPr>
            </w:pPr>
            <w:r>
              <w:rPr>
                <w:szCs w:val="21"/>
              </w:rPr>
              <w:t>4位环形计数节拍发生器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2" w:type="pct"/>
            <w:vMerge w:val="continue"/>
            <w:vAlign w:val="center"/>
          </w:tcPr>
          <w:p>
            <w:pPr>
              <w:spacing w:line="240" w:lineRule="exact"/>
              <w:jc w:val="center"/>
              <w:rPr>
                <w:szCs w:val="21"/>
              </w:rPr>
            </w:pPr>
          </w:p>
        </w:tc>
        <w:tc>
          <w:tcPr>
            <w:tcW w:w="655" w:type="pct"/>
            <w:vMerge w:val="continue"/>
            <w:vAlign w:val="center"/>
          </w:tcPr>
          <w:p>
            <w:pPr>
              <w:spacing w:line="240" w:lineRule="exact"/>
              <w:jc w:val="center"/>
              <w:rPr>
                <w:szCs w:val="21"/>
              </w:rPr>
            </w:pPr>
          </w:p>
        </w:tc>
        <w:tc>
          <w:tcPr>
            <w:tcW w:w="3933" w:type="pct"/>
            <w:vAlign w:val="center"/>
          </w:tcPr>
          <w:p>
            <w:pPr>
              <w:spacing w:line="240" w:lineRule="exact"/>
              <w:jc w:val="left"/>
              <w:rPr>
                <w:szCs w:val="21"/>
              </w:rPr>
            </w:pPr>
            <w:r>
              <w:rPr>
                <w:szCs w:val="21"/>
              </w:rPr>
              <w:t>秒脉冲信号发生器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2" w:type="pct"/>
            <w:vMerge w:val="continue"/>
            <w:vAlign w:val="center"/>
          </w:tcPr>
          <w:p>
            <w:pPr>
              <w:spacing w:line="240" w:lineRule="exact"/>
              <w:jc w:val="center"/>
              <w:rPr>
                <w:szCs w:val="21"/>
              </w:rPr>
            </w:pPr>
          </w:p>
        </w:tc>
        <w:tc>
          <w:tcPr>
            <w:tcW w:w="655" w:type="pct"/>
            <w:vMerge w:val="continue"/>
            <w:vAlign w:val="center"/>
          </w:tcPr>
          <w:p>
            <w:pPr>
              <w:spacing w:line="240" w:lineRule="exact"/>
              <w:jc w:val="center"/>
              <w:rPr>
                <w:szCs w:val="21"/>
              </w:rPr>
            </w:pPr>
          </w:p>
        </w:tc>
        <w:tc>
          <w:tcPr>
            <w:tcW w:w="3933" w:type="pct"/>
            <w:vAlign w:val="center"/>
          </w:tcPr>
          <w:p>
            <w:pPr>
              <w:spacing w:line="240" w:lineRule="exact"/>
              <w:jc w:val="left"/>
              <w:rPr>
                <w:szCs w:val="21"/>
              </w:rPr>
            </w:pPr>
            <w:r>
              <w:rPr>
                <w:szCs w:val="21"/>
              </w:rPr>
              <w:t>伺服电机测速与时钟脉冲测频电路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2" w:type="pct"/>
            <w:vMerge w:val="continue"/>
            <w:vAlign w:val="center"/>
          </w:tcPr>
          <w:p>
            <w:pPr>
              <w:spacing w:line="240" w:lineRule="exact"/>
              <w:jc w:val="center"/>
              <w:rPr>
                <w:szCs w:val="21"/>
              </w:rPr>
            </w:pPr>
          </w:p>
        </w:tc>
        <w:tc>
          <w:tcPr>
            <w:tcW w:w="655" w:type="pct"/>
            <w:vMerge w:val="continue"/>
            <w:vAlign w:val="center"/>
          </w:tcPr>
          <w:p>
            <w:pPr>
              <w:spacing w:line="240" w:lineRule="exact"/>
              <w:jc w:val="center"/>
              <w:rPr>
                <w:szCs w:val="21"/>
              </w:rPr>
            </w:pPr>
          </w:p>
        </w:tc>
        <w:tc>
          <w:tcPr>
            <w:tcW w:w="3933" w:type="pct"/>
            <w:vAlign w:val="center"/>
          </w:tcPr>
          <w:p>
            <w:pPr>
              <w:spacing w:line="240" w:lineRule="exact"/>
              <w:jc w:val="left"/>
              <w:rPr>
                <w:szCs w:val="21"/>
              </w:rPr>
            </w:pPr>
            <w:r>
              <w:rPr>
                <w:szCs w:val="21"/>
              </w:rPr>
              <w:t>救护车/消防车声响报警电路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2" w:type="pct"/>
            <w:vMerge w:val="continue"/>
            <w:vAlign w:val="center"/>
          </w:tcPr>
          <w:p>
            <w:pPr>
              <w:spacing w:line="240" w:lineRule="exact"/>
              <w:jc w:val="center"/>
              <w:rPr>
                <w:szCs w:val="21"/>
              </w:rPr>
            </w:pPr>
          </w:p>
        </w:tc>
        <w:tc>
          <w:tcPr>
            <w:tcW w:w="655" w:type="pct"/>
            <w:vMerge w:val="continue"/>
            <w:vAlign w:val="center"/>
          </w:tcPr>
          <w:p>
            <w:pPr>
              <w:spacing w:line="240" w:lineRule="exact"/>
              <w:jc w:val="center"/>
              <w:rPr>
                <w:szCs w:val="21"/>
              </w:rPr>
            </w:pPr>
          </w:p>
        </w:tc>
        <w:tc>
          <w:tcPr>
            <w:tcW w:w="3933" w:type="pct"/>
            <w:vAlign w:val="center"/>
          </w:tcPr>
          <w:p>
            <w:pPr>
              <w:spacing w:line="240" w:lineRule="exact"/>
              <w:jc w:val="left"/>
              <w:rPr>
                <w:szCs w:val="21"/>
              </w:rPr>
            </w:pPr>
            <w:r>
              <w:rPr>
                <w:szCs w:val="21"/>
              </w:rPr>
              <w:t>D/A转换器将数码转换成单极性、双极性模拟电压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2" w:type="pct"/>
            <w:vMerge w:val="continue"/>
            <w:vAlign w:val="center"/>
          </w:tcPr>
          <w:p>
            <w:pPr>
              <w:spacing w:line="240" w:lineRule="exact"/>
              <w:jc w:val="center"/>
              <w:rPr>
                <w:szCs w:val="21"/>
              </w:rPr>
            </w:pPr>
          </w:p>
        </w:tc>
        <w:tc>
          <w:tcPr>
            <w:tcW w:w="655" w:type="pct"/>
            <w:vMerge w:val="continue"/>
            <w:vAlign w:val="center"/>
          </w:tcPr>
          <w:p>
            <w:pPr>
              <w:spacing w:line="240" w:lineRule="exact"/>
              <w:jc w:val="center"/>
              <w:rPr>
                <w:szCs w:val="21"/>
              </w:rPr>
            </w:pPr>
          </w:p>
        </w:tc>
        <w:tc>
          <w:tcPr>
            <w:tcW w:w="3933" w:type="pct"/>
            <w:vAlign w:val="center"/>
          </w:tcPr>
          <w:p>
            <w:pPr>
              <w:spacing w:line="240" w:lineRule="exact"/>
              <w:jc w:val="left"/>
              <w:rPr>
                <w:szCs w:val="21"/>
              </w:rPr>
            </w:pPr>
            <w:r>
              <w:rPr>
                <w:szCs w:val="21"/>
              </w:rPr>
              <w:t>8位优先编码器抢答电路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2" w:type="pct"/>
            <w:vMerge w:val="continue"/>
            <w:vAlign w:val="center"/>
          </w:tcPr>
          <w:p>
            <w:pPr>
              <w:spacing w:line="240" w:lineRule="exact"/>
              <w:jc w:val="center"/>
              <w:rPr>
                <w:szCs w:val="21"/>
              </w:rPr>
            </w:pPr>
          </w:p>
        </w:tc>
        <w:tc>
          <w:tcPr>
            <w:tcW w:w="655" w:type="pct"/>
            <w:vMerge w:val="continue"/>
            <w:vAlign w:val="center"/>
          </w:tcPr>
          <w:p>
            <w:pPr>
              <w:spacing w:line="240" w:lineRule="exact"/>
              <w:jc w:val="center"/>
              <w:rPr>
                <w:szCs w:val="21"/>
              </w:rPr>
            </w:pPr>
          </w:p>
        </w:tc>
        <w:tc>
          <w:tcPr>
            <w:tcW w:w="3933" w:type="pct"/>
            <w:vAlign w:val="center"/>
          </w:tcPr>
          <w:p>
            <w:pPr>
              <w:spacing w:line="240" w:lineRule="exact"/>
              <w:jc w:val="left"/>
              <w:rPr>
                <w:szCs w:val="21"/>
              </w:rPr>
            </w:pPr>
            <w:r>
              <w:rPr>
                <w:szCs w:val="21"/>
              </w:rPr>
              <w:t>触摸式密码电子锁电路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2" w:type="pct"/>
            <w:vMerge w:val="continue"/>
            <w:vAlign w:val="center"/>
          </w:tcPr>
          <w:p>
            <w:pPr>
              <w:spacing w:line="240" w:lineRule="exact"/>
              <w:jc w:val="center"/>
              <w:rPr>
                <w:szCs w:val="21"/>
              </w:rPr>
            </w:pPr>
          </w:p>
        </w:tc>
        <w:tc>
          <w:tcPr>
            <w:tcW w:w="655" w:type="pct"/>
            <w:vMerge w:val="continue"/>
            <w:vAlign w:val="center"/>
          </w:tcPr>
          <w:p>
            <w:pPr>
              <w:spacing w:line="240" w:lineRule="exact"/>
              <w:jc w:val="center"/>
              <w:rPr>
                <w:szCs w:val="21"/>
              </w:rPr>
            </w:pPr>
          </w:p>
        </w:tc>
        <w:tc>
          <w:tcPr>
            <w:tcW w:w="3933" w:type="pct"/>
            <w:vAlign w:val="center"/>
          </w:tcPr>
          <w:p>
            <w:pPr>
              <w:spacing w:line="240" w:lineRule="exact"/>
              <w:jc w:val="left"/>
              <w:rPr>
                <w:szCs w:val="21"/>
              </w:rPr>
            </w:pPr>
            <w:r>
              <w:rPr>
                <w:szCs w:val="21"/>
              </w:rPr>
              <w:t>数字钟电路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2" w:type="pct"/>
            <w:vMerge w:val="continue"/>
            <w:vAlign w:val="center"/>
          </w:tcPr>
          <w:p>
            <w:pPr>
              <w:spacing w:line="240" w:lineRule="exact"/>
              <w:jc w:val="center"/>
              <w:rPr>
                <w:szCs w:val="21"/>
              </w:rPr>
            </w:pPr>
          </w:p>
        </w:tc>
        <w:tc>
          <w:tcPr>
            <w:tcW w:w="655" w:type="pct"/>
            <w:vMerge w:val="continue"/>
            <w:vAlign w:val="center"/>
          </w:tcPr>
          <w:p>
            <w:pPr>
              <w:spacing w:line="240" w:lineRule="exact"/>
              <w:jc w:val="center"/>
              <w:rPr>
                <w:szCs w:val="21"/>
              </w:rPr>
            </w:pPr>
          </w:p>
        </w:tc>
        <w:tc>
          <w:tcPr>
            <w:tcW w:w="3933" w:type="pct"/>
            <w:vAlign w:val="center"/>
          </w:tcPr>
          <w:p>
            <w:pPr>
              <w:spacing w:line="240" w:lineRule="exact"/>
              <w:jc w:val="left"/>
              <w:rPr>
                <w:szCs w:val="21"/>
              </w:rPr>
            </w:pPr>
            <w:r>
              <w:rPr>
                <w:szCs w:val="21"/>
              </w:rPr>
              <w:t>二位十进制计数符合电路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2" w:type="pct"/>
            <w:vMerge w:val="continue"/>
            <w:vAlign w:val="center"/>
          </w:tcPr>
          <w:p>
            <w:pPr>
              <w:spacing w:line="240" w:lineRule="exact"/>
              <w:jc w:val="center"/>
              <w:rPr>
                <w:szCs w:val="21"/>
              </w:rPr>
            </w:pPr>
          </w:p>
        </w:tc>
        <w:tc>
          <w:tcPr>
            <w:tcW w:w="655" w:type="pct"/>
            <w:vMerge w:val="continue"/>
            <w:vAlign w:val="center"/>
          </w:tcPr>
          <w:p>
            <w:pPr>
              <w:spacing w:line="240" w:lineRule="exact"/>
              <w:jc w:val="center"/>
              <w:rPr>
                <w:szCs w:val="21"/>
              </w:rPr>
            </w:pPr>
          </w:p>
        </w:tc>
        <w:tc>
          <w:tcPr>
            <w:tcW w:w="3933" w:type="pct"/>
            <w:vAlign w:val="center"/>
          </w:tcPr>
          <w:p>
            <w:pPr>
              <w:spacing w:line="240" w:lineRule="exact"/>
              <w:jc w:val="left"/>
              <w:rPr>
                <w:szCs w:val="21"/>
              </w:rPr>
            </w:pPr>
            <w:r>
              <w:rPr>
                <w:szCs w:val="21"/>
              </w:rPr>
              <w:t>升/降阶梯波形信号发生器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2" w:type="pct"/>
            <w:vMerge w:val="continue"/>
            <w:vAlign w:val="center"/>
          </w:tcPr>
          <w:p>
            <w:pPr>
              <w:spacing w:line="240" w:lineRule="exact"/>
              <w:jc w:val="center"/>
              <w:rPr>
                <w:szCs w:val="21"/>
              </w:rPr>
            </w:pPr>
          </w:p>
        </w:tc>
        <w:tc>
          <w:tcPr>
            <w:tcW w:w="655" w:type="pct"/>
            <w:vMerge w:val="continue"/>
            <w:vAlign w:val="center"/>
          </w:tcPr>
          <w:p>
            <w:pPr>
              <w:spacing w:line="240" w:lineRule="exact"/>
              <w:jc w:val="center"/>
              <w:rPr>
                <w:szCs w:val="21"/>
              </w:rPr>
            </w:pPr>
          </w:p>
        </w:tc>
        <w:tc>
          <w:tcPr>
            <w:tcW w:w="3933" w:type="pct"/>
            <w:vAlign w:val="center"/>
          </w:tcPr>
          <w:p>
            <w:pPr>
              <w:spacing w:line="240" w:lineRule="exact"/>
              <w:jc w:val="left"/>
              <w:rPr>
                <w:szCs w:val="21"/>
              </w:rPr>
            </w:pPr>
            <w:r>
              <w:rPr>
                <w:szCs w:val="21"/>
              </w:rPr>
              <w:t>光电转换加/减计数电路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2" w:type="pct"/>
            <w:vMerge w:val="continue"/>
            <w:vAlign w:val="center"/>
          </w:tcPr>
          <w:p>
            <w:pPr>
              <w:spacing w:line="240" w:lineRule="exact"/>
              <w:jc w:val="center"/>
              <w:rPr>
                <w:szCs w:val="21"/>
              </w:rPr>
            </w:pPr>
          </w:p>
        </w:tc>
        <w:tc>
          <w:tcPr>
            <w:tcW w:w="655" w:type="pct"/>
            <w:vMerge w:val="continue"/>
            <w:vAlign w:val="center"/>
          </w:tcPr>
          <w:p>
            <w:pPr>
              <w:spacing w:line="240" w:lineRule="exact"/>
              <w:jc w:val="center"/>
              <w:rPr>
                <w:szCs w:val="21"/>
              </w:rPr>
            </w:pPr>
          </w:p>
        </w:tc>
        <w:tc>
          <w:tcPr>
            <w:tcW w:w="3933" w:type="pct"/>
            <w:vAlign w:val="center"/>
          </w:tcPr>
          <w:p>
            <w:pPr>
              <w:spacing w:line="240" w:lineRule="exact"/>
              <w:jc w:val="left"/>
              <w:rPr>
                <w:szCs w:val="21"/>
              </w:rPr>
            </w:pPr>
            <w:r>
              <w:rPr>
                <w:szCs w:val="21"/>
              </w:rPr>
              <w:t>双极晶体管及场效管输出特性的测定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2" w:type="pct"/>
            <w:vMerge w:val="continue"/>
            <w:vAlign w:val="center"/>
          </w:tcPr>
          <w:p>
            <w:pPr>
              <w:spacing w:line="240" w:lineRule="exact"/>
              <w:jc w:val="center"/>
              <w:rPr>
                <w:szCs w:val="21"/>
              </w:rPr>
            </w:pPr>
          </w:p>
        </w:tc>
        <w:tc>
          <w:tcPr>
            <w:tcW w:w="655" w:type="pct"/>
            <w:vMerge w:val="continue"/>
            <w:vAlign w:val="center"/>
          </w:tcPr>
          <w:p>
            <w:pPr>
              <w:spacing w:line="240" w:lineRule="exact"/>
              <w:jc w:val="center"/>
              <w:rPr>
                <w:szCs w:val="21"/>
              </w:rPr>
            </w:pPr>
          </w:p>
        </w:tc>
        <w:tc>
          <w:tcPr>
            <w:tcW w:w="3933" w:type="pct"/>
            <w:vAlign w:val="center"/>
          </w:tcPr>
          <w:p>
            <w:pPr>
              <w:spacing w:line="240" w:lineRule="exact"/>
              <w:jc w:val="left"/>
              <w:rPr>
                <w:szCs w:val="21"/>
              </w:rPr>
            </w:pPr>
            <w:r>
              <w:rPr>
                <w:szCs w:val="21"/>
              </w:rPr>
              <w:t>二位十进制计数/译码/驱动/显示电路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2" w:type="pct"/>
            <w:vMerge w:val="continue"/>
            <w:vAlign w:val="center"/>
          </w:tcPr>
          <w:p>
            <w:pPr>
              <w:spacing w:line="240" w:lineRule="exact"/>
              <w:jc w:val="center"/>
              <w:rPr>
                <w:szCs w:val="21"/>
              </w:rPr>
            </w:pPr>
          </w:p>
        </w:tc>
        <w:tc>
          <w:tcPr>
            <w:tcW w:w="655" w:type="pct"/>
            <w:vMerge w:val="continue"/>
            <w:vAlign w:val="center"/>
          </w:tcPr>
          <w:p>
            <w:pPr>
              <w:spacing w:line="240" w:lineRule="exact"/>
              <w:jc w:val="center"/>
              <w:rPr>
                <w:szCs w:val="21"/>
              </w:rPr>
            </w:pPr>
          </w:p>
        </w:tc>
        <w:tc>
          <w:tcPr>
            <w:tcW w:w="3933" w:type="pct"/>
            <w:vAlign w:val="center"/>
          </w:tcPr>
          <w:p>
            <w:pPr>
              <w:spacing w:line="240" w:lineRule="exact"/>
              <w:jc w:val="left"/>
              <w:rPr>
                <w:szCs w:val="21"/>
              </w:rPr>
            </w:pPr>
            <w:r>
              <w:rPr>
                <w:szCs w:val="21"/>
              </w:rPr>
              <w:t>典型复合互补OTL功率放大电路调试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2" w:type="pct"/>
            <w:vMerge w:val="continue"/>
            <w:vAlign w:val="center"/>
          </w:tcPr>
          <w:p>
            <w:pPr>
              <w:spacing w:line="240" w:lineRule="exact"/>
              <w:jc w:val="center"/>
              <w:rPr>
                <w:szCs w:val="21"/>
              </w:rPr>
            </w:pPr>
          </w:p>
        </w:tc>
        <w:tc>
          <w:tcPr>
            <w:tcW w:w="655" w:type="pct"/>
            <w:vMerge w:val="continue"/>
            <w:vAlign w:val="center"/>
          </w:tcPr>
          <w:p>
            <w:pPr>
              <w:spacing w:line="240" w:lineRule="exact"/>
              <w:jc w:val="center"/>
              <w:rPr>
                <w:szCs w:val="21"/>
              </w:rPr>
            </w:pPr>
          </w:p>
        </w:tc>
        <w:tc>
          <w:tcPr>
            <w:tcW w:w="3933" w:type="pct"/>
            <w:vAlign w:val="center"/>
          </w:tcPr>
          <w:p>
            <w:pPr>
              <w:spacing w:line="240" w:lineRule="exact"/>
              <w:jc w:val="left"/>
              <w:rPr>
                <w:szCs w:val="21"/>
              </w:rPr>
            </w:pPr>
            <w:r>
              <w:rPr>
                <w:szCs w:val="21"/>
              </w:rPr>
              <w:t>恒温控制电路的制作与调试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2" w:type="pct"/>
            <w:vMerge w:val="continue"/>
            <w:vAlign w:val="center"/>
          </w:tcPr>
          <w:p>
            <w:pPr>
              <w:spacing w:line="240" w:lineRule="exact"/>
              <w:jc w:val="center"/>
              <w:rPr>
                <w:szCs w:val="21"/>
              </w:rPr>
            </w:pPr>
          </w:p>
        </w:tc>
        <w:tc>
          <w:tcPr>
            <w:tcW w:w="655" w:type="pct"/>
            <w:vMerge w:val="continue"/>
            <w:vAlign w:val="center"/>
          </w:tcPr>
          <w:p>
            <w:pPr>
              <w:spacing w:line="240" w:lineRule="exact"/>
              <w:jc w:val="center"/>
              <w:rPr>
                <w:szCs w:val="21"/>
              </w:rPr>
            </w:pPr>
          </w:p>
        </w:tc>
        <w:tc>
          <w:tcPr>
            <w:tcW w:w="3933" w:type="pct"/>
            <w:vAlign w:val="center"/>
          </w:tcPr>
          <w:p>
            <w:pPr>
              <w:spacing w:line="240" w:lineRule="exact"/>
              <w:jc w:val="left"/>
              <w:rPr>
                <w:szCs w:val="21"/>
              </w:rPr>
            </w:pPr>
            <w:r>
              <w:rPr>
                <w:szCs w:val="21"/>
              </w:rPr>
              <w:t>函数信号发生器的组装与调试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2" w:type="pct"/>
            <w:vMerge w:val="continue"/>
            <w:vAlign w:val="center"/>
          </w:tcPr>
          <w:p>
            <w:pPr>
              <w:spacing w:line="240" w:lineRule="exact"/>
              <w:jc w:val="center"/>
              <w:rPr>
                <w:szCs w:val="21"/>
              </w:rPr>
            </w:pPr>
          </w:p>
        </w:tc>
        <w:tc>
          <w:tcPr>
            <w:tcW w:w="655" w:type="pct"/>
            <w:vMerge w:val="continue"/>
            <w:vAlign w:val="center"/>
          </w:tcPr>
          <w:p>
            <w:pPr>
              <w:spacing w:line="240" w:lineRule="exact"/>
              <w:jc w:val="center"/>
              <w:rPr>
                <w:szCs w:val="21"/>
              </w:rPr>
            </w:pPr>
          </w:p>
        </w:tc>
        <w:tc>
          <w:tcPr>
            <w:tcW w:w="3933" w:type="pct"/>
            <w:vAlign w:val="center"/>
          </w:tcPr>
          <w:p>
            <w:pPr>
              <w:spacing w:line="240" w:lineRule="exact"/>
              <w:jc w:val="left"/>
              <w:rPr>
                <w:szCs w:val="21"/>
              </w:rPr>
            </w:pPr>
            <w:r>
              <w:rPr>
                <w:szCs w:val="21"/>
              </w:rPr>
              <w:t>温度检测及控制电路-应用实验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2" w:type="pct"/>
            <w:vMerge w:val="continue"/>
            <w:vAlign w:val="center"/>
          </w:tcPr>
          <w:p>
            <w:pPr>
              <w:spacing w:line="240" w:lineRule="exact"/>
              <w:jc w:val="center"/>
              <w:rPr>
                <w:szCs w:val="21"/>
              </w:rPr>
            </w:pPr>
          </w:p>
        </w:tc>
        <w:tc>
          <w:tcPr>
            <w:tcW w:w="655" w:type="pct"/>
            <w:vMerge w:val="continue"/>
            <w:vAlign w:val="center"/>
          </w:tcPr>
          <w:p>
            <w:pPr>
              <w:spacing w:line="240" w:lineRule="exact"/>
              <w:jc w:val="center"/>
              <w:rPr>
                <w:szCs w:val="21"/>
              </w:rPr>
            </w:pPr>
          </w:p>
        </w:tc>
        <w:tc>
          <w:tcPr>
            <w:tcW w:w="3933" w:type="pct"/>
            <w:vAlign w:val="center"/>
          </w:tcPr>
          <w:p>
            <w:pPr>
              <w:spacing w:line="240" w:lineRule="exact"/>
              <w:jc w:val="left"/>
              <w:rPr>
                <w:szCs w:val="21"/>
              </w:rPr>
            </w:pPr>
            <w:r>
              <w:rPr>
                <w:szCs w:val="21"/>
              </w:rPr>
              <w:t>万用电表的设计与测试-综合实验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2" w:type="pct"/>
            <w:vMerge w:val="continue"/>
            <w:vAlign w:val="center"/>
          </w:tcPr>
          <w:p>
            <w:pPr>
              <w:spacing w:line="240" w:lineRule="exact"/>
              <w:jc w:val="center"/>
              <w:rPr>
                <w:szCs w:val="21"/>
              </w:rPr>
            </w:pPr>
          </w:p>
        </w:tc>
        <w:tc>
          <w:tcPr>
            <w:tcW w:w="655" w:type="pct"/>
            <w:vMerge w:val="continue"/>
            <w:vAlign w:val="center"/>
          </w:tcPr>
          <w:p>
            <w:pPr>
              <w:spacing w:line="240" w:lineRule="exact"/>
              <w:jc w:val="center"/>
              <w:rPr>
                <w:szCs w:val="21"/>
              </w:rPr>
            </w:pPr>
          </w:p>
        </w:tc>
        <w:tc>
          <w:tcPr>
            <w:tcW w:w="3933" w:type="pct"/>
            <w:vAlign w:val="center"/>
          </w:tcPr>
          <w:p>
            <w:pPr>
              <w:spacing w:line="240" w:lineRule="exact"/>
              <w:jc w:val="left"/>
              <w:rPr>
                <w:szCs w:val="21"/>
              </w:rPr>
            </w:pPr>
            <w:r>
              <w:rPr>
                <w:szCs w:val="21"/>
              </w:rPr>
              <w:t>智力竞赛抢答装置—综合性实验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2" w:type="pct"/>
            <w:vMerge w:val="continue"/>
            <w:vAlign w:val="center"/>
          </w:tcPr>
          <w:p>
            <w:pPr>
              <w:spacing w:line="240" w:lineRule="exact"/>
              <w:jc w:val="center"/>
              <w:rPr>
                <w:szCs w:val="21"/>
              </w:rPr>
            </w:pPr>
          </w:p>
        </w:tc>
        <w:tc>
          <w:tcPr>
            <w:tcW w:w="655" w:type="pct"/>
            <w:vMerge w:val="continue"/>
            <w:vAlign w:val="center"/>
          </w:tcPr>
          <w:p>
            <w:pPr>
              <w:spacing w:line="240" w:lineRule="exact"/>
              <w:jc w:val="center"/>
              <w:rPr>
                <w:szCs w:val="21"/>
              </w:rPr>
            </w:pPr>
          </w:p>
        </w:tc>
        <w:tc>
          <w:tcPr>
            <w:tcW w:w="3933" w:type="pct"/>
            <w:vAlign w:val="center"/>
          </w:tcPr>
          <w:p>
            <w:pPr>
              <w:spacing w:line="240" w:lineRule="exact"/>
              <w:jc w:val="left"/>
              <w:rPr>
                <w:szCs w:val="21"/>
              </w:rPr>
            </w:pPr>
            <w:r>
              <w:rPr>
                <w:szCs w:val="21"/>
              </w:rPr>
              <w:t>电子秒表—综合性实验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2" w:type="pct"/>
            <w:vMerge w:val="continue"/>
            <w:vAlign w:val="center"/>
          </w:tcPr>
          <w:p>
            <w:pPr>
              <w:spacing w:line="240" w:lineRule="exact"/>
              <w:jc w:val="center"/>
              <w:rPr>
                <w:szCs w:val="21"/>
              </w:rPr>
            </w:pPr>
          </w:p>
        </w:tc>
        <w:tc>
          <w:tcPr>
            <w:tcW w:w="655" w:type="pct"/>
            <w:vMerge w:val="continue"/>
            <w:vAlign w:val="center"/>
          </w:tcPr>
          <w:p>
            <w:pPr>
              <w:spacing w:line="240" w:lineRule="exact"/>
              <w:jc w:val="center"/>
              <w:rPr>
                <w:szCs w:val="21"/>
              </w:rPr>
            </w:pPr>
          </w:p>
        </w:tc>
        <w:tc>
          <w:tcPr>
            <w:tcW w:w="3933" w:type="pct"/>
            <w:vAlign w:val="center"/>
          </w:tcPr>
          <w:p>
            <w:pPr>
              <w:spacing w:line="240" w:lineRule="exact"/>
              <w:jc w:val="left"/>
              <w:rPr>
                <w:szCs w:val="21"/>
              </w:rPr>
            </w:pPr>
            <w:r>
              <w:rPr>
                <w:szCs w:val="21"/>
              </w:rPr>
              <w:t>三位半直流数字电压表—综合性实验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2" w:type="pct"/>
            <w:vMerge w:val="continue"/>
            <w:vAlign w:val="center"/>
          </w:tcPr>
          <w:p>
            <w:pPr>
              <w:spacing w:line="240" w:lineRule="exact"/>
              <w:jc w:val="center"/>
              <w:rPr>
                <w:szCs w:val="21"/>
              </w:rPr>
            </w:pPr>
          </w:p>
        </w:tc>
        <w:tc>
          <w:tcPr>
            <w:tcW w:w="655" w:type="pct"/>
            <w:vMerge w:val="continue"/>
            <w:vAlign w:val="center"/>
          </w:tcPr>
          <w:p>
            <w:pPr>
              <w:spacing w:line="240" w:lineRule="exact"/>
              <w:jc w:val="center"/>
              <w:rPr>
                <w:szCs w:val="21"/>
              </w:rPr>
            </w:pPr>
          </w:p>
        </w:tc>
        <w:tc>
          <w:tcPr>
            <w:tcW w:w="3933" w:type="pct"/>
            <w:vAlign w:val="center"/>
          </w:tcPr>
          <w:p>
            <w:pPr>
              <w:spacing w:line="240" w:lineRule="exact"/>
              <w:jc w:val="left"/>
              <w:rPr>
                <w:szCs w:val="21"/>
              </w:rPr>
            </w:pPr>
            <w:r>
              <w:rPr>
                <w:szCs w:val="21"/>
              </w:rPr>
              <w:t>数字频率计—综合性实验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12" w:type="pct"/>
            <w:vMerge w:val="continue"/>
            <w:vAlign w:val="center"/>
          </w:tcPr>
          <w:p>
            <w:pPr>
              <w:spacing w:line="240" w:lineRule="exact"/>
              <w:jc w:val="center"/>
              <w:rPr>
                <w:szCs w:val="21"/>
              </w:rPr>
            </w:pPr>
          </w:p>
        </w:tc>
        <w:tc>
          <w:tcPr>
            <w:tcW w:w="655" w:type="pct"/>
            <w:vMerge w:val="continue"/>
            <w:vAlign w:val="center"/>
          </w:tcPr>
          <w:p>
            <w:pPr>
              <w:spacing w:line="240" w:lineRule="exact"/>
              <w:jc w:val="center"/>
              <w:rPr>
                <w:szCs w:val="21"/>
              </w:rPr>
            </w:pPr>
          </w:p>
        </w:tc>
        <w:tc>
          <w:tcPr>
            <w:tcW w:w="3933" w:type="pct"/>
            <w:vAlign w:val="center"/>
          </w:tcPr>
          <w:p>
            <w:pPr>
              <w:spacing w:line="240" w:lineRule="exact"/>
              <w:jc w:val="left"/>
              <w:rPr>
                <w:szCs w:val="21"/>
              </w:rPr>
            </w:pPr>
            <w:r>
              <w:rPr>
                <w:szCs w:val="21"/>
              </w:rPr>
              <w:t>拔河游戏机—综合性实验</w:t>
            </w:r>
          </w:p>
        </w:tc>
      </w:tr>
    </w:tbl>
    <w:p>
      <w:pPr>
        <w:rPr>
          <w:rFonts w:cs="宋体" w:asciiTheme="minorEastAsia" w:hAnsiTheme="minorEastAsia" w:eastAsiaTheme="minorEastAsia"/>
          <w:sz w:val="28"/>
          <w:szCs w:val="28"/>
        </w:rPr>
      </w:pPr>
    </w:p>
    <w:p>
      <w:pPr>
        <w:ind w:firstLine="120" w:firstLineChars="50"/>
        <w:outlineLvl w:val="2"/>
        <w:rPr>
          <w:rFonts w:asciiTheme="minorEastAsia" w:hAnsiTheme="minorEastAsia" w:eastAsiaTheme="minorEastAsia"/>
          <w:b/>
          <w:bCs/>
          <w:sz w:val="24"/>
        </w:rPr>
      </w:pPr>
      <w:r>
        <w:rPr>
          <w:rFonts w:hint="eastAsia" w:cs="宋体" w:asciiTheme="minorEastAsia" w:hAnsiTheme="minorEastAsia" w:eastAsiaTheme="minorEastAsia"/>
          <w:b/>
          <w:bCs/>
          <w:sz w:val="24"/>
        </w:rPr>
        <w:t>（十）单片机应用实验模块</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164"/>
        <w:gridCol w:w="6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b/>
                <w:bCs/>
                <w:szCs w:val="21"/>
              </w:rPr>
            </w:pPr>
            <w:r>
              <w:rPr>
                <w:b/>
                <w:bCs/>
                <w:szCs w:val="21"/>
              </w:rPr>
              <w:t>序号</w:t>
            </w:r>
          </w:p>
        </w:tc>
        <w:tc>
          <w:tcPr>
            <w:tcW w:w="683" w:type="pct"/>
            <w:vAlign w:val="center"/>
          </w:tcPr>
          <w:p>
            <w:pPr>
              <w:jc w:val="center"/>
              <w:rPr>
                <w:b/>
                <w:bCs/>
                <w:szCs w:val="21"/>
              </w:rPr>
            </w:pPr>
            <w:r>
              <w:rPr>
                <w:b/>
                <w:bCs/>
                <w:szCs w:val="21"/>
              </w:rPr>
              <w:t>名称</w:t>
            </w:r>
          </w:p>
        </w:tc>
        <w:tc>
          <w:tcPr>
            <w:tcW w:w="3919" w:type="pct"/>
            <w:vAlign w:val="center"/>
          </w:tcPr>
          <w:p>
            <w:pPr>
              <w:jc w:val="center"/>
              <w:rPr>
                <w:b/>
                <w:bCs/>
                <w:szCs w:val="21"/>
              </w:rPr>
            </w:pPr>
            <w:r>
              <w:rPr>
                <w:b/>
                <w:bCs/>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Merge w:val="restart"/>
            <w:vAlign w:val="center"/>
          </w:tcPr>
          <w:p>
            <w:pPr>
              <w:jc w:val="center"/>
              <w:rPr>
                <w:szCs w:val="21"/>
              </w:rPr>
            </w:pPr>
            <w:r>
              <w:rPr>
                <w:szCs w:val="21"/>
              </w:rPr>
              <w:t>1</w:t>
            </w:r>
          </w:p>
        </w:tc>
        <w:tc>
          <w:tcPr>
            <w:tcW w:w="683" w:type="pct"/>
            <w:vMerge w:val="restart"/>
            <w:vAlign w:val="center"/>
          </w:tcPr>
          <w:p>
            <w:pPr>
              <w:jc w:val="left"/>
              <w:rPr>
                <w:szCs w:val="21"/>
              </w:rPr>
            </w:pPr>
            <w:r>
              <w:rPr>
                <w:szCs w:val="21"/>
              </w:rPr>
              <w:t>技术性能要求</w:t>
            </w:r>
          </w:p>
        </w:tc>
        <w:tc>
          <w:tcPr>
            <w:tcW w:w="3919" w:type="pct"/>
            <w:vAlign w:val="center"/>
          </w:tcPr>
          <w:p>
            <w:pPr>
              <w:jc w:val="left"/>
              <w:rPr>
                <w:szCs w:val="21"/>
              </w:rPr>
            </w:pPr>
            <w:r>
              <w:rPr>
                <w:szCs w:val="21"/>
              </w:rPr>
              <w:t>实验模块要求使用者能够观察到内部元件形状和接线方式，便于教师讲解和学生认识；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Merge w:val="continue"/>
            <w:vAlign w:val="center"/>
          </w:tcPr>
          <w:p>
            <w:pPr>
              <w:jc w:val="center"/>
              <w:rPr>
                <w:szCs w:val="21"/>
              </w:rPr>
            </w:pPr>
          </w:p>
        </w:tc>
        <w:tc>
          <w:tcPr>
            <w:tcW w:w="683" w:type="pct"/>
            <w:vMerge w:val="continue"/>
            <w:vAlign w:val="center"/>
          </w:tcPr>
          <w:p>
            <w:pPr>
              <w:jc w:val="left"/>
              <w:rPr>
                <w:szCs w:val="21"/>
              </w:rPr>
            </w:pPr>
          </w:p>
        </w:tc>
        <w:tc>
          <w:tcPr>
            <w:tcW w:w="3919" w:type="pct"/>
            <w:vAlign w:val="center"/>
          </w:tcPr>
          <w:p>
            <w:pPr>
              <w:jc w:val="left"/>
              <w:rPr>
                <w:szCs w:val="21"/>
              </w:rPr>
            </w:pPr>
            <w:r>
              <w:rPr>
                <w:szCs w:val="21"/>
              </w:rPr>
              <w:t xml:space="preserve">实验模块面板要求采用PCB板制作而成，表面清爽、符号线路清晰、表面耐磨损、元件更换容易；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2</w:t>
            </w:r>
          </w:p>
        </w:tc>
        <w:tc>
          <w:tcPr>
            <w:tcW w:w="683" w:type="pct"/>
            <w:vAlign w:val="center"/>
          </w:tcPr>
          <w:p>
            <w:pPr>
              <w:spacing w:line="240" w:lineRule="exact"/>
              <w:jc w:val="left"/>
              <w:rPr>
                <w:szCs w:val="21"/>
              </w:rPr>
            </w:pPr>
            <w:r>
              <w:rPr>
                <w:szCs w:val="21"/>
              </w:rPr>
              <w:t>MCS51主机</w:t>
            </w:r>
          </w:p>
        </w:tc>
        <w:tc>
          <w:tcPr>
            <w:tcW w:w="3919" w:type="pct"/>
            <w:vAlign w:val="center"/>
          </w:tcPr>
          <w:p>
            <w:pPr>
              <w:shd w:val="clear" w:color="auto" w:fill="FFFFFF"/>
              <w:spacing w:line="240" w:lineRule="exact"/>
              <w:jc w:val="left"/>
              <w:rPr>
                <w:szCs w:val="21"/>
              </w:rPr>
            </w:pPr>
            <w:r>
              <w:rPr>
                <w:szCs w:val="21"/>
              </w:rPr>
              <w:t>可进行仿真51系列单片机及烧录，并引出所有I/O口，并对I/O口工作情况进行灯光指示。（投标书中提供实物图片）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398" w:type="pct"/>
            <w:vAlign w:val="center"/>
          </w:tcPr>
          <w:p>
            <w:pPr>
              <w:jc w:val="center"/>
              <w:rPr>
                <w:szCs w:val="21"/>
              </w:rPr>
            </w:pPr>
            <w:r>
              <w:rPr>
                <w:szCs w:val="21"/>
              </w:rPr>
              <w:t>3</w:t>
            </w:r>
          </w:p>
        </w:tc>
        <w:tc>
          <w:tcPr>
            <w:tcW w:w="683" w:type="pct"/>
            <w:vAlign w:val="center"/>
          </w:tcPr>
          <w:p>
            <w:pPr>
              <w:spacing w:line="240" w:lineRule="exact"/>
              <w:jc w:val="left"/>
              <w:rPr>
                <w:szCs w:val="21"/>
              </w:rPr>
            </w:pPr>
            <w:r>
              <w:rPr>
                <w:szCs w:val="21"/>
              </w:rPr>
              <w:t>STM32主机</w:t>
            </w:r>
          </w:p>
        </w:tc>
        <w:tc>
          <w:tcPr>
            <w:tcW w:w="3919" w:type="pct"/>
            <w:vAlign w:val="center"/>
          </w:tcPr>
          <w:p>
            <w:pPr>
              <w:shd w:val="clear" w:color="auto" w:fill="FFFFFF"/>
              <w:spacing w:line="240" w:lineRule="exact"/>
              <w:jc w:val="left"/>
              <w:rPr>
                <w:szCs w:val="21"/>
              </w:rPr>
            </w:pPr>
            <w:r>
              <w:rPr>
                <w:szCs w:val="21"/>
              </w:rPr>
              <w:t xml:space="preserve">可进行STM32系列单片机烧录、仿真，并引出所有I/O口，还提供STM32启动方式的选择开关及外部Flash存触器。（投标书中提供实物图片）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4</w:t>
            </w:r>
          </w:p>
        </w:tc>
        <w:tc>
          <w:tcPr>
            <w:tcW w:w="683" w:type="pct"/>
            <w:vAlign w:val="center"/>
          </w:tcPr>
          <w:p>
            <w:pPr>
              <w:spacing w:line="240" w:lineRule="exact"/>
              <w:jc w:val="left"/>
              <w:rPr>
                <w:szCs w:val="21"/>
              </w:rPr>
            </w:pPr>
            <w:r>
              <w:rPr>
                <w:szCs w:val="21"/>
              </w:rPr>
              <w:t>空气质量传感器</w:t>
            </w:r>
          </w:p>
        </w:tc>
        <w:tc>
          <w:tcPr>
            <w:tcW w:w="3919" w:type="pct"/>
            <w:vAlign w:val="center"/>
          </w:tcPr>
          <w:p>
            <w:pPr>
              <w:shd w:val="clear" w:color="auto" w:fill="FFFFFF"/>
              <w:spacing w:line="240" w:lineRule="exact"/>
              <w:jc w:val="left"/>
              <w:rPr>
                <w:szCs w:val="21"/>
              </w:rPr>
            </w:pPr>
            <w:r>
              <w:rPr>
                <w:szCs w:val="21"/>
              </w:rPr>
              <w:t xml:space="preserve">空气质量传感器 提供一种二氧化锡半导体传感器，对各种空气污染源都有很高的灵敏度，可对空气质量进行检测。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98" w:type="pct"/>
            <w:vAlign w:val="center"/>
          </w:tcPr>
          <w:p>
            <w:pPr>
              <w:jc w:val="center"/>
              <w:rPr>
                <w:szCs w:val="21"/>
              </w:rPr>
            </w:pPr>
            <w:r>
              <w:rPr>
                <w:szCs w:val="21"/>
              </w:rPr>
              <w:t>5</w:t>
            </w:r>
          </w:p>
        </w:tc>
        <w:tc>
          <w:tcPr>
            <w:tcW w:w="683" w:type="pct"/>
            <w:vAlign w:val="center"/>
          </w:tcPr>
          <w:p>
            <w:pPr>
              <w:spacing w:line="240" w:lineRule="exact"/>
              <w:jc w:val="left"/>
              <w:rPr>
                <w:szCs w:val="21"/>
              </w:rPr>
            </w:pPr>
            <w:r>
              <w:rPr>
                <w:szCs w:val="21"/>
              </w:rPr>
              <w:t>热释电红外传感器</w:t>
            </w:r>
          </w:p>
        </w:tc>
        <w:tc>
          <w:tcPr>
            <w:tcW w:w="3919" w:type="pct"/>
            <w:vAlign w:val="center"/>
          </w:tcPr>
          <w:p>
            <w:pPr>
              <w:shd w:val="clear" w:color="auto" w:fill="FFFFFF"/>
              <w:spacing w:line="240" w:lineRule="exact"/>
              <w:jc w:val="left"/>
              <w:rPr>
                <w:szCs w:val="21"/>
              </w:rPr>
            </w:pPr>
            <w:r>
              <w:rPr>
                <w:szCs w:val="21"/>
              </w:rPr>
              <w:t>由热释电红外传感器模块组成，利用人体感应红外光来控制报警器，可以用于人体感应开关、自动门、自动洗手机等。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98" w:type="pct"/>
            <w:vAlign w:val="center"/>
          </w:tcPr>
          <w:p>
            <w:pPr>
              <w:jc w:val="center"/>
              <w:rPr>
                <w:szCs w:val="21"/>
              </w:rPr>
            </w:pPr>
            <w:r>
              <w:rPr>
                <w:szCs w:val="21"/>
              </w:rPr>
              <w:t>6</w:t>
            </w:r>
          </w:p>
        </w:tc>
        <w:tc>
          <w:tcPr>
            <w:tcW w:w="683" w:type="pct"/>
            <w:vAlign w:val="center"/>
          </w:tcPr>
          <w:p>
            <w:pPr>
              <w:spacing w:line="240" w:lineRule="exact"/>
              <w:jc w:val="left"/>
              <w:rPr>
                <w:szCs w:val="21"/>
              </w:rPr>
            </w:pPr>
            <w:r>
              <w:rPr>
                <w:szCs w:val="21"/>
              </w:rPr>
              <w:t>LM35温度传感器</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提供LM35温度传感器，可用于温度测量。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7</w:t>
            </w:r>
          </w:p>
        </w:tc>
        <w:tc>
          <w:tcPr>
            <w:tcW w:w="683" w:type="pct"/>
            <w:vAlign w:val="center"/>
          </w:tcPr>
          <w:p>
            <w:pPr>
              <w:spacing w:line="240" w:lineRule="exact"/>
              <w:jc w:val="left"/>
              <w:rPr>
                <w:szCs w:val="21"/>
              </w:rPr>
            </w:pPr>
            <w:r>
              <w:rPr>
                <w:szCs w:val="21"/>
              </w:rPr>
              <w:t>18B20温度传感器</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提供18B20数字温度传感器，可以直接得到数字温度信号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8</w:t>
            </w:r>
          </w:p>
        </w:tc>
        <w:tc>
          <w:tcPr>
            <w:tcW w:w="683" w:type="pct"/>
            <w:vAlign w:val="center"/>
          </w:tcPr>
          <w:p>
            <w:pPr>
              <w:spacing w:line="240" w:lineRule="exact"/>
              <w:jc w:val="left"/>
              <w:rPr>
                <w:szCs w:val="21"/>
              </w:rPr>
            </w:pPr>
            <w:r>
              <w:rPr>
                <w:szCs w:val="21"/>
              </w:rPr>
              <w:t>光照传感器</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由1750FVI数字照度传感器与PO188模拟照度传感器组成，实现光照度测量。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9</w:t>
            </w:r>
          </w:p>
        </w:tc>
        <w:tc>
          <w:tcPr>
            <w:tcW w:w="683" w:type="pct"/>
            <w:vAlign w:val="center"/>
          </w:tcPr>
          <w:p>
            <w:pPr>
              <w:spacing w:line="240" w:lineRule="exact"/>
              <w:jc w:val="left"/>
              <w:rPr>
                <w:szCs w:val="21"/>
              </w:rPr>
            </w:pPr>
            <w:r>
              <w:rPr>
                <w:szCs w:val="21"/>
              </w:rPr>
              <w:t>RFID模块</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提供RFID模块，实现通过无线电讯号识别特定目标并读写相关数据。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10</w:t>
            </w:r>
          </w:p>
        </w:tc>
        <w:tc>
          <w:tcPr>
            <w:tcW w:w="683" w:type="pct"/>
            <w:vAlign w:val="center"/>
          </w:tcPr>
          <w:p>
            <w:pPr>
              <w:spacing w:line="240" w:lineRule="exact"/>
              <w:jc w:val="left"/>
              <w:rPr>
                <w:szCs w:val="21"/>
              </w:rPr>
            </w:pPr>
            <w:r>
              <w:rPr>
                <w:szCs w:val="21"/>
              </w:rPr>
              <w:t>指纹识别</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由指纹模块组成，实现指纹鉴别的功能。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11</w:t>
            </w:r>
          </w:p>
        </w:tc>
        <w:tc>
          <w:tcPr>
            <w:tcW w:w="683" w:type="pct"/>
            <w:vAlign w:val="center"/>
          </w:tcPr>
          <w:p>
            <w:pPr>
              <w:spacing w:line="240" w:lineRule="exact"/>
              <w:jc w:val="left"/>
              <w:rPr>
                <w:szCs w:val="21"/>
              </w:rPr>
            </w:pPr>
            <w:r>
              <w:rPr>
                <w:szCs w:val="21"/>
              </w:rPr>
              <w:t>气压传感器</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由MS5611-01BA01气压传感器及外围电路组成，可测量大气压强。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12</w:t>
            </w:r>
          </w:p>
        </w:tc>
        <w:tc>
          <w:tcPr>
            <w:tcW w:w="683" w:type="pct"/>
            <w:vAlign w:val="center"/>
          </w:tcPr>
          <w:p>
            <w:pPr>
              <w:spacing w:line="240" w:lineRule="exact"/>
              <w:jc w:val="left"/>
              <w:rPr>
                <w:szCs w:val="21"/>
              </w:rPr>
            </w:pPr>
            <w:r>
              <w:rPr>
                <w:szCs w:val="21"/>
              </w:rPr>
              <w:t>心率传感器</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采用专用心率传感器模块，光电式，用于检测人体心率。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13</w:t>
            </w:r>
          </w:p>
        </w:tc>
        <w:tc>
          <w:tcPr>
            <w:tcW w:w="683" w:type="pct"/>
            <w:vAlign w:val="center"/>
          </w:tcPr>
          <w:p>
            <w:pPr>
              <w:spacing w:line="240" w:lineRule="exact"/>
              <w:jc w:val="left"/>
              <w:rPr>
                <w:szCs w:val="21"/>
              </w:rPr>
            </w:pPr>
            <w:r>
              <w:rPr>
                <w:szCs w:val="21"/>
              </w:rPr>
              <w:t>数字温湿度传感器</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采用DHT11数字式温湿度传感器。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14</w:t>
            </w:r>
          </w:p>
        </w:tc>
        <w:tc>
          <w:tcPr>
            <w:tcW w:w="683" w:type="pct"/>
            <w:vAlign w:val="center"/>
          </w:tcPr>
          <w:p>
            <w:pPr>
              <w:spacing w:line="240" w:lineRule="exact"/>
              <w:jc w:val="left"/>
              <w:rPr>
                <w:szCs w:val="21"/>
              </w:rPr>
            </w:pPr>
            <w:r>
              <w:rPr>
                <w:szCs w:val="21"/>
              </w:rPr>
              <w:t>火焰传感器</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提供火焰传感器，输出电压信号，实现对火源位置和距离的判断。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15</w:t>
            </w:r>
          </w:p>
        </w:tc>
        <w:tc>
          <w:tcPr>
            <w:tcW w:w="683" w:type="pct"/>
            <w:vAlign w:val="center"/>
          </w:tcPr>
          <w:p>
            <w:pPr>
              <w:spacing w:line="240" w:lineRule="exact"/>
              <w:jc w:val="left"/>
              <w:rPr>
                <w:szCs w:val="21"/>
              </w:rPr>
            </w:pPr>
            <w:r>
              <w:rPr>
                <w:szCs w:val="21"/>
              </w:rPr>
              <w:t>震动传感器</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提供震动传感器，实现对震动强度的检测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16</w:t>
            </w:r>
          </w:p>
        </w:tc>
        <w:tc>
          <w:tcPr>
            <w:tcW w:w="683" w:type="pct"/>
            <w:vAlign w:val="center"/>
          </w:tcPr>
          <w:p>
            <w:pPr>
              <w:spacing w:line="240" w:lineRule="exact"/>
              <w:jc w:val="left"/>
              <w:rPr>
                <w:szCs w:val="21"/>
              </w:rPr>
            </w:pPr>
            <w:r>
              <w:rPr>
                <w:szCs w:val="21"/>
              </w:rPr>
              <w:t>金属检测</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提供金属检测传感器，能够检测金属的有无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17</w:t>
            </w:r>
          </w:p>
        </w:tc>
        <w:tc>
          <w:tcPr>
            <w:tcW w:w="683" w:type="pct"/>
            <w:vAlign w:val="center"/>
          </w:tcPr>
          <w:p>
            <w:pPr>
              <w:spacing w:line="240" w:lineRule="exact"/>
              <w:jc w:val="left"/>
              <w:rPr>
                <w:szCs w:val="21"/>
              </w:rPr>
            </w:pPr>
            <w:r>
              <w:rPr>
                <w:szCs w:val="21"/>
              </w:rPr>
              <w:t>雨滴传感器</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由触发器芯片CD4093、迂回检测电路及三极管组成，实现雨滴大小检测并输出TTL电平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18</w:t>
            </w:r>
          </w:p>
        </w:tc>
        <w:tc>
          <w:tcPr>
            <w:tcW w:w="683" w:type="pct"/>
            <w:vAlign w:val="center"/>
          </w:tcPr>
          <w:p>
            <w:pPr>
              <w:spacing w:line="240" w:lineRule="exact"/>
              <w:jc w:val="left"/>
              <w:rPr>
                <w:szCs w:val="21"/>
              </w:rPr>
            </w:pPr>
            <w:r>
              <w:rPr>
                <w:szCs w:val="21"/>
              </w:rPr>
              <w:t>三轴加速度/陀螺仪</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提供三轴加速度/陀螺仪，可同时测量X轴、Y轴、Z轴三个方向的加速度，还可以计算倾斜角度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19</w:t>
            </w:r>
          </w:p>
        </w:tc>
        <w:tc>
          <w:tcPr>
            <w:tcW w:w="683" w:type="pct"/>
            <w:vAlign w:val="center"/>
          </w:tcPr>
          <w:p>
            <w:pPr>
              <w:spacing w:line="240" w:lineRule="exact"/>
              <w:jc w:val="left"/>
              <w:rPr>
                <w:szCs w:val="21"/>
              </w:rPr>
            </w:pPr>
            <w:r>
              <w:rPr>
                <w:szCs w:val="21"/>
              </w:rPr>
              <w:t>酒精传感器</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由酒精传感器与电压比较器组成，实现对酒精浓度进行检测的功能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20</w:t>
            </w:r>
          </w:p>
        </w:tc>
        <w:tc>
          <w:tcPr>
            <w:tcW w:w="683" w:type="pct"/>
            <w:vAlign w:val="center"/>
          </w:tcPr>
          <w:p>
            <w:pPr>
              <w:spacing w:line="240" w:lineRule="exact"/>
              <w:jc w:val="left"/>
              <w:rPr>
                <w:szCs w:val="21"/>
              </w:rPr>
            </w:pPr>
            <w:r>
              <w:rPr>
                <w:szCs w:val="21"/>
              </w:rPr>
              <w:t>一氧化碳传感器</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由一氧化碳传感器和电压比较器组成，带电位器调节灵敏度。具有模拟量输出及TTL电平输出。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21</w:t>
            </w:r>
          </w:p>
        </w:tc>
        <w:tc>
          <w:tcPr>
            <w:tcW w:w="683" w:type="pct"/>
            <w:vAlign w:val="center"/>
          </w:tcPr>
          <w:p>
            <w:pPr>
              <w:spacing w:line="240" w:lineRule="exact"/>
              <w:jc w:val="left"/>
              <w:rPr>
                <w:szCs w:val="21"/>
              </w:rPr>
            </w:pPr>
            <w:r>
              <w:rPr>
                <w:szCs w:val="21"/>
              </w:rPr>
              <w:t>霍尔开关传感器</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工作电源：+5V；检测范围：0～5mm，可以利用开关式霍尔传感器测量转速。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22</w:t>
            </w:r>
          </w:p>
        </w:tc>
        <w:tc>
          <w:tcPr>
            <w:tcW w:w="683" w:type="pct"/>
            <w:vAlign w:val="center"/>
          </w:tcPr>
          <w:p>
            <w:pPr>
              <w:spacing w:line="240" w:lineRule="exact"/>
              <w:jc w:val="left"/>
              <w:rPr>
                <w:szCs w:val="21"/>
              </w:rPr>
            </w:pPr>
            <w:r>
              <w:rPr>
                <w:szCs w:val="21"/>
              </w:rPr>
              <w:t>光电开关传感器</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工作电源：+5V；工作模式：对射式，可以利用光电开关传感器测量转速。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23</w:t>
            </w:r>
          </w:p>
        </w:tc>
        <w:tc>
          <w:tcPr>
            <w:tcW w:w="683" w:type="pct"/>
            <w:vAlign w:val="center"/>
          </w:tcPr>
          <w:p>
            <w:pPr>
              <w:spacing w:line="240" w:lineRule="exact"/>
              <w:jc w:val="left"/>
              <w:rPr>
                <w:szCs w:val="21"/>
              </w:rPr>
            </w:pPr>
            <w:r>
              <w:rPr>
                <w:szCs w:val="21"/>
              </w:rPr>
              <w:t>红外反射</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由红外光脉冲信号发射电路、光敏二极管及后续红外脉冲的接收、整形、放大以及滤波电路组成，实现红外反射功能。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24</w:t>
            </w:r>
          </w:p>
        </w:tc>
        <w:tc>
          <w:tcPr>
            <w:tcW w:w="683" w:type="pct"/>
            <w:vAlign w:val="center"/>
          </w:tcPr>
          <w:p>
            <w:pPr>
              <w:spacing w:line="240" w:lineRule="exact"/>
              <w:jc w:val="left"/>
              <w:rPr>
                <w:szCs w:val="21"/>
              </w:rPr>
            </w:pPr>
            <w:r>
              <w:rPr>
                <w:szCs w:val="21"/>
              </w:rPr>
              <w:t>编码器</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采用绝对型旋转光电编码器。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25</w:t>
            </w:r>
          </w:p>
        </w:tc>
        <w:tc>
          <w:tcPr>
            <w:tcW w:w="683" w:type="pct"/>
            <w:vAlign w:val="center"/>
          </w:tcPr>
          <w:p>
            <w:pPr>
              <w:spacing w:line="240" w:lineRule="exact"/>
              <w:jc w:val="left"/>
              <w:rPr>
                <w:szCs w:val="21"/>
              </w:rPr>
            </w:pPr>
            <w:r>
              <w:rPr>
                <w:szCs w:val="21"/>
              </w:rPr>
              <w:t>译码器</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提供译码器电路。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26</w:t>
            </w:r>
          </w:p>
        </w:tc>
        <w:tc>
          <w:tcPr>
            <w:tcW w:w="683" w:type="pct"/>
            <w:vAlign w:val="center"/>
          </w:tcPr>
          <w:p>
            <w:pPr>
              <w:spacing w:line="240" w:lineRule="exact"/>
              <w:jc w:val="left"/>
              <w:rPr>
                <w:szCs w:val="21"/>
              </w:rPr>
            </w:pPr>
            <w:r>
              <w:rPr>
                <w:szCs w:val="21"/>
              </w:rPr>
              <w:t>串行A/D转换</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由TLC2543芯片组成，实现将模拟信号转换为数字信号。（投标书中提供实物图片）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27</w:t>
            </w:r>
          </w:p>
        </w:tc>
        <w:tc>
          <w:tcPr>
            <w:tcW w:w="683" w:type="pct"/>
            <w:vAlign w:val="center"/>
          </w:tcPr>
          <w:p>
            <w:pPr>
              <w:spacing w:line="240" w:lineRule="exact"/>
              <w:jc w:val="left"/>
              <w:rPr>
                <w:szCs w:val="21"/>
              </w:rPr>
            </w:pPr>
            <w:r>
              <w:rPr>
                <w:szCs w:val="21"/>
              </w:rPr>
              <w:t>ICL7135模数转换</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由A/D转换与译码/驱动电路等组成，实现模数转换功能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28</w:t>
            </w:r>
          </w:p>
        </w:tc>
        <w:tc>
          <w:tcPr>
            <w:tcW w:w="683" w:type="pct"/>
            <w:vAlign w:val="center"/>
          </w:tcPr>
          <w:p>
            <w:pPr>
              <w:spacing w:line="240" w:lineRule="exact"/>
              <w:jc w:val="left"/>
              <w:rPr>
                <w:szCs w:val="21"/>
              </w:rPr>
            </w:pPr>
            <w:r>
              <w:rPr>
                <w:szCs w:val="21"/>
              </w:rPr>
              <w:t>并行A/D转换</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由ADC0809芯片组成，实现将模拟信号转换为八位数字信号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29</w:t>
            </w:r>
          </w:p>
        </w:tc>
        <w:tc>
          <w:tcPr>
            <w:tcW w:w="683" w:type="pct"/>
            <w:vAlign w:val="center"/>
          </w:tcPr>
          <w:p>
            <w:pPr>
              <w:spacing w:line="240" w:lineRule="exact"/>
              <w:jc w:val="left"/>
              <w:rPr>
                <w:szCs w:val="21"/>
              </w:rPr>
            </w:pPr>
            <w:r>
              <w:rPr>
                <w:szCs w:val="21"/>
              </w:rPr>
              <w:t>串行D/A转换</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由12位D/A转换芯片TLC5618组成，实现将数字信号转换为模拟信号。（投标书中提供实物图片）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30</w:t>
            </w:r>
          </w:p>
        </w:tc>
        <w:tc>
          <w:tcPr>
            <w:tcW w:w="683" w:type="pct"/>
            <w:vAlign w:val="center"/>
          </w:tcPr>
          <w:p>
            <w:pPr>
              <w:spacing w:line="240" w:lineRule="exact"/>
              <w:jc w:val="left"/>
              <w:rPr>
                <w:szCs w:val="21"/>
              </w:rPr>
            </w:pPr>
            <w:r>
              <w:rPr>
                <w:szCs w:val="21"/>
              </w:rPr>
              <w:t>并行D/A转换</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由DAC0832芯片组成，实现将八位数字信号转换为0～5V的模拟信号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31</w:t>
            </w:r>
          </w:p>
        </w:tc>
        <w:tc>
          <w:tcPr>
            <w:tcW w:w="683" w:type="pct"/>
            <w:vAlign w:val="center"/>
          </w:tcPr>
          <w:p>
            <w:pPr>
              <w:spacing w:line="240" w:lineRule="exact"/>
              <w:jc w:val="left"/>
              <w:rPr>
                <w:szCs w:val="21"/>
              </w:rPr>
            </w:pPr>
            <w:r>
              <w:rPr>
                <w:szCs w:val="21"/>
              </w:rPr>
              <w:t>并串转换</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由74LS165组成，实现将并行输入信号转换为串行输出信号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32</w:t>
            </w:r>
          </w:p>
        </w:tc>
        <w:tc>
          <w:tcPr>
            <w:tcW w:w="683" w:type="pct"/>
            <w:vAlign w:val="center"/>
          </w:tcPr>
          <w:p>
            <w:pPr>
              <w:spacing w:line="240" w:lineRule="exact"/>
              <w:jc w:val="left"/>
              <w:rPr>
                <w:szCs w:val="21"/>
              </w:rPr>
            </w:pPr>
            <w:r>
              <w:rPr>
                <w:szCs w:val="21"/>
              </w:rPr>
              <w:t>串并转换</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由74LS164组成，实现将串行输入信号转换为并行输出信号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33</w:t>
            </w:r>
          </w:p>
        </w:tc>
        <w:tc>
          <w:tcPr>
            <w:tcW w:w="683" w:type="pct"/>
            <w:vAlign w:val="center"/>
          </w:tcPr>
          <w:p>
            <w:pPr>
              <w:spacing w:line="240" w:lineRule="exact"/>
              <w:jc w:val="left"/>
              <w:rPr>
                <w:szCs w:val="21"/>
              </w:rPr>
            </w:pPr>
            <w:r>
              <w:rPr>
                <w:szCs w:val="21"/>
              </w:rPr>
              <w:t>运放模块</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提供典型运放芯片LM324（要求采用直插式，便于更换）及独立器件，能够用于电路扩展。（投标书中提供实物图片）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34</w:t>
            </w:r>
          </w:p>
        </w:tc>
        <w:tc>
          <w:tcPr>
            <w:tcW w:w="683" w:type="pct"/>
            <w:vAlign w:val="center"/>
          </w:tcPr>
          <w:p>
            <w:pPr>
              <w:spacing w:line="240" w:lineRule="exact"/>
              <w:jc w:val="left"/>
              <w:rPr>
                <w:szCs w:val="21"/>
              </w:rPr>
            </w:pPr>
            <w:r>
              <w:rPr>
                <w:szCs w:val="21"/>
              </w:rPr>
              <w:t>音频解码</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由VS1053芯片组成，实现音频解码与录制功能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35</w:t>
            </w:r>
          </w:p>
        </w:tc>
        <w:tc>
          <w:tcPr>
            <w:tcW w:w="683" w:type="pct"/>
            <w:vAlign w:val="center"/>
          </w:tcPr>
          <w:p>
            <w:pPr>
              <w:spacing w:line="240" w:lineRule="exact"/>
              <w:jc w:val="left"/>
              <w:rPr>
                <w:szCs w:val="21"/>
              </w:rPr>
            </w:pPr>
            <w:r>
              <w:rPr>
                <w:szCs w:val="21"/>
              </w:rPr>
              <w:t>十进制计数器</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提供4017十进制计数/分频器，可以对输入的脉冲个数进行计数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36</w:t>
            </w:r>
          </w:p>
        </w:tc>
        <w:tc>
          <w:tcPr>
            <w:tcW w:w="683" w:type="pct"/>
            <w:vAlign w:val="center"/>
          </w:tcPr>
          <w:p>
            <w:pPr>
              <w:spacing w:line="240" w:lineRule="exact"/>
              <w:jc w:val="left"/>
              <w:rPr>
                <w:szCs w:val="21"/>
              </w:rPr>
            </w:pPr>
            <w:r>
              <w:rPr>
                <w:szCs w:val="21"/>
              </w:rPr>
              <w:t>单次脉冲与时钟</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包括由74LS393组成的分频电路和单次脉冲，可为其它实验模块提供单次脉冲及时钟信号。（投标书中提供实物图片）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37</w:t>
            </w:r>
          </w:p>
        </w:tc>
        <w:tc>
          <w:tcPr>
            <w:tcW w:w="683" w:type="pct"/>
            <w:vAlign w:val="center"/>
          </w:tcPr>
          <w:p>
            <w:pPr>
              <w:spacing w:line="240" w:lineRule="exact"/>
              <w:jc w:val="left"/>
              <w:rPr>
                <w:szCs w:val="21"/>
              </w:rPr>
            </w:pPr>
            <w:r>
              <w:rPr>
                <w:szCs w:val="21"/>
              </w:rPr>
              <w:t>128×64液晶显示</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由128×64液晶屏组成，实现显示图形、汉字等功能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38</w:t>
            </w:r>
          </w:p>
        </w:tc>
        <w:tc>
          <w:tcPr>
            <w:tcW w:w="683" w:type="pct"/>
            <w:vAlign w:val="center"/>
          </w:tcPr>
          <w:p>
            <w:pPr>
              <w:spacing w:line="240" w:lineRule="exact"/>
              <w:jc w:val="left"/>
              <w:rPr>
                <w:szCs w:val="21"/>
              </w:rPr>
            </w:pPr>
            <w:r>
              <w:rPr>
                <w:szCs w:val="21"/>
              </w:rPr>
              <w:t>数码管显示</w:t>
            </w:r>
          </w:p>
        </w:tc>
        <w:tc>
          <w:tcPr>
            <w:tcW w:w="3919" w:type="pct"/>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left"/>
              <w:rPr>
                <w:szCs w:val="21"/>
              </w:rPr>
            </w:pPr>
            <w:r>
              <w:rPr>
                <w:szCs w:val="21"/>
              </w:rPr>
              <w:t>由数码管和驱动芯片组成，实现数字显示功能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39</w:t>
            </w:r>
          </w:p>
        </w:tc>
        <w:tc>
          <w:tcPr>
            <w:tcW w:w="683" w:type="pct"/>
            <w:vAlign w:val="center"/>
          </w:tcPr>
          <w:p>
            <w:pPr>
              <w:spacing w:line="240" w:lineRule="exact"/>
              <w:jc w:val="left"/>
              <w:rPr>
                <w:szCs w:val="21"/>
              </w:rPr>
            </w:pPr>
            <w:r>
              <w:rPr>
                <w:szCs w:val="21"/>
              </w:rPr>
              <w:t>八位独立按键</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提供8个独立键盘，以点动方式输出高低电平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40</w:t>
            </w:r>
          </w:p>
        </w:tc>
        <w:tc>
          <w:tcPr>
            <w:tcW w:w="683" w:type="pct"/>
            <w:vAlign w:val="center"/>
          </w:tcPr>
          <w:p>
            <w:pPr>
              <w:spacing w:line="240" w:lineRule="exact"/>
              <w:jc w:val="left"/>
              <w:rPr>
                <w:szCs w:val="21"/>
              </w:rPr>
            </w:pPr>
            <w:r>
              <w:rPr>
                <w:szCs w:val="21"/>
              </w:rPr>
              <w:t>矩阵键盘模块</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由16个按键与电阻组成，实现信号的输入及扩展键盘功能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41</w:t>
            </w:r>
          </w:p>
        </w:tc>
        <w:tc>
          <w:tcPr>
            <w:tcW w:w="683" w:type="pct"/>
            <w:vAlign w:val="center"/>
          </w:tcPr>
          <w:p>
            <w:pPr>
              <w:spacing w:line="240" w:lineRule="exact"/>
              <w:jc w:val="left"/>
              <w:rPr>
                <w:szCs w:val="21"/>
              </w:rPr>
            </w:pPr>
            <w:r>
              <w:rPr>
                <w:szCs w:val="21"/>
              </w:rPr>
              <w:t>PNP三极管驱动</w:t>
            </w:r>
          </w:p>
        </w:tc>
        <w:tc>
          <w:tcPr>
            <w:tcW w:w="3919" w:type="pct"/>
            <w:tcBorders>
              <w:top w:val="single" w:color="auto" w:sz="4" w:space="0"/>
              <w:left w:val="single" w:color="auto" w:sz="4" w:space="0"/>
              <w:bottom w:val="single" w:color="auto" w:sz="4" w:space="0"/>
              <w:right w:val="single" w:color="auto" w:sz="4" w:space="0"/>
            </w:tcBorders>
            <w:vAlign w:val="center"/>
          </w:tcPr>
          <w:p>
            <w:pPr>
              <w:shd w:val="clear" w:color="auto" w:fill="FFFFFF"/>
              <w:spacing w:line="240" w:lineRule="exact"/>
              <w:jc w:val="left"/>
              <w:rPr>
                <w:szCs w:val="21"/>
              </w:rPr>
            </w:pPr>
            <w:r>
              <w:rPr>
                <w:szCs w:val="21"/>
              </w:rPr>
              <w:t>由9012与TIP42C组成PNP复合管。2块/套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42</w:t>
            </w:r>
          </w:p>
        </w:tc>
        <w:tc>
          <w:tcPr>
            <w:tcW w:w="683" w:type="pct"/>
            <w:vAlign w:val="center"/>
          </w:tcPr>
          <w:p>
            <w:pPr>
              <w:spacing w:line="240" w:lineRule="exact"/>
              <w:jc w:val="left"/>
              <w:rPr>
                <w:szCs w:val="21"/>
              </w:rPr>
            </w:pPr>
            <w:r>
              <w:rPr>
                <w:szCs w:val="21"/>
              </w:rPr>
              <w:t>NPN三极管驱动</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由9013与TIP41C组成NPN复合管。2块/套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43</w:t>
            </w:r>
          </w:p>
        </w:tc>
        <w:tc>
          <w:tcPr>
            <w:tcW w:w="683" w:type="pct"/>
            <w:vAlign w:val="center"/>
          </w:tcPr>
          <w:p>
            <w:pPr>
              <w:spacing w:line="240" w:lineRule="exact"/>
              <w:jc w:val="left"/>
              <w:rPr>
                <w:szCs w:val="21"/>
              </w:rPr>
            </w:pPr>
            <w:r>
              <w:rPr>
                <w:szCs w:val="21"/>
              </w:rPr>
              <w:t>双向可控硅</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提供双向可控硅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44</w:t>
            </w:r>
          </w:p>
        </w:tc>
        <w:tc>
          <w:tcPr>
            <w:tcW w:w="683" w:type="pct"/>
            <w:vAlign w:val="center"/>
          </w:tcPr>
          <w:p>
            <w:pPr>
              <w:spacing w:line="240" w:lineRule="exact"/>
              <w:jc w:val="left"/>
              <w:rPr>
                <w:szCs w:val="21"/>
              </w:rPr>
            </w:pPr>
            <w:r>
              <w:rPr>
                <w:szCs w:val="21"/>
              </w:rPr>
              <w:t>电磁继电器</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提供8组电磁继电器，并引出接口，可以实现弱电控制强电功能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45</w:t>
            </w:r>
          </w:p>
        </w:tc>
        <w:tc>
          <w:tcPr>
            <w:tcW w:w="683" w:type="pct"/>
            <w:vAlign w:val="center"/>
          </w:tcPr>
          <w:p>
            <w:pPr>
              <w:spacing w:line="240" w:lineRule="exact"/>
              <w:jc w:val="left"/>
              <w:rPr>
                <w:szCs w:val="21"/>
              </w:rPr>
            </w:pPr>
            <w:r>
              <w:rPr>
                <w:szCs w:val="21"/>
              </w:rPr>
              <w:t>直流电机驱动</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由4个功率三极管组成“H桥式驱动电路”，这是一个典型的直流电机控制电路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46</w:t>
            </w:r>
          </w:p>
        </w:tc>
        <w:tc>
          <w:tcPr>
            <w:tcW w:w="683" w:type="pct"/>
            <w:vAlign w:val="center"/>
          </w:tcPr>
          <w:p>
            <w:pPr>
              <w:spacing w:line="240" w:lineRule="exact"/>
              <w:jc w:val="left"/>
              <w:rPr>
                <w:szCs w:val="21"/>
              </w:rPr>
            </w:pPr>
            <w:r>
              <w:rPr>
                <w:szCs w:val="21"/>
              </w:rPr>
              <w:t>蜂鸣器</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包含1个有源蜂鸣器与1个无源蜂鸣器，可以作提示音控制使用，低电平有效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47</w:t>
            </w:r>
          </w:p>
        </w:tc>
        <w:tc>
          <w:tcPr>
            <w:tcW w:w="683" w:type="pct"/>
            <w:vAlign w:val="center"/>
          </w:tcPr>
          <w:p>
            <w:pPr>
              <w:spacing w:line="240" w:lineRule="exact"/>
              <w:jc w:val="left"/>
              <w:rPr>
                <w:szCs w:val="21"/>
              </w:rPr>
            </w:pPr>
            <w:r>
              <w:rPr>
                <w:szCs w:val="21"/>
              </w:rPr>
              <w:t>扬声器</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提供一个8Ω/5W的扬声器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48</w:t>
            </w:r>
          </w:p>
        </w:tc>
        <w:tc>
          <w:tcPr>
            <w:tcW w:w="683" w:type="pct"/>
            <w:vAlign w:val="center"/>
          </w:tcPr>
          <w:p>
            <w:pPr>
              <w:spacing w:line="240" w:lineRule="exact"/>
              <w:jc w:val="left"/>
              <w:rPr>
                <w:szCs w:val="21"/>
              </w:rPr>
            </w:pPr>
            <w:r>
              <w:rPr>
                <w:szCs w:val="21"/>
              </w:rPr>
              <w:t>交通灯</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用双色LED模拟交通灯，数码管显示倒计时秒数等功能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49</w:t>
            </w:r>
          </w:p>
        </w:tc>
        <w:tc>
          <w:tcPr>
            <w:tcW w:w="683" w:type="pct"/>
            <w:vAlign w:val="center"/>
          </w:tcPr>
          <w:p>
            <w:pPr>
              <w:spacing w:line="240" w:lineRule="exact"/>
              <w:jc w:val="left"/>
              <w:rPr>
                <w:szCs w:val="21"/>
              </w:rPr>
            </w:pPr>
            <w:r>
              <w:rPr>
                <w:szCs w:val="21"/>
              </w:rPr>
              <w:t>U盘、SD卡</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由文件控制管理芯片CH376、SD卡（座）及USB座组成，可以实现数据存储与读取功能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50</w:t>
            </w:r>
          </w:p>
        </w:tc>
        <w:tc>
          <w:tcPr>
            <w:tcW w:w="683" w:type="pct"/>
            <w:vAlign w:val="center"/>
          </w:tcPr>
          <w:p>
            <w:pPr>
              <w:spacing w:line="240" w:lineRule="exact"/>
              <w:jc w:val="left"/>
              <w:rPr>
                <w:szCs w:val="21"/>
              </w:rPr>
            </w:pPr>
            <w:r>
              <w:rPr>
                <w:szCs w:val="21"/>
              </w:rPr>
              <w:t>AK040语音</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由反相器芯片74HC04与语音芯片AK040组成，芯片中录制有63种常用的语音，MCU可通过时序播放其中任意一段语音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51</w:t>
            </w:r>
          </w:p>
        </w:tc>
        <w:tc>
          <w:tcPr>
            <w:tcW w:w="683" w:type="pct"/>
            <w:vAlign w:val="center"/>
          </w:tcPr>
          <w:p>
            <w:pPr>
              <w:spacing w:line="240" w:lineRule="exact"/>
              <w:jc w:val="left"/>
              <w:rPr>
                <w:szCs w:val="21"/>
              </w:rPr>
            </w:pPr>
            <w:r>
              <w:rPr>
                <w:szCs w:val="21"/>
              </w:rPr>
              <w:t>直流电机</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由直流电机、槽型光耦、三极管组成，实现直流电机的转速控制及测量功能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52</w:t>
            </w:r>
          </w:p>
        </w:tc>
        <w:tc>
          <w:tcPr>
            <w:tcW w:w="683" w:type="pct"/>
            <w:vAlign w:val="center"/>
          </w:tcPr>
          <w:p>
            <w:pPr>
              <w:spacing w:line="240" w:lineRule="exact"/>
              <w:jc w:val="left"/>
              <w:rPr>
                <w:szCs w:val="21"/>
              </w:rPr>
            </w:pPr>
            <w:r>
              <w:rPr>
                <w:szCs w:val="21"/>
              </w:rPr>
              <w:t>RS485</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由MAX485等组成，实现485方式与单片机进行通信。2块/套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53</w:t>
            </w:r>
          </w:p>
        </w:tc>
        <w:tc>
          <w:tcPr>
            <w:tcW w:w="683" w:type="pct"/>
            <w:vAlign w:val="center"/>
          </w:tcPr>
          <w:p>
            <w:pPr>
              <w:spacing w:line="240" w:lineRule="exact"/>
              <w:jc w:val="left"/>
              <w:rPr>
                <w:szCs w:val="21"/>
              </w:rPr>
            </w:pPr>
            <w:r>
              <w:rPr>
                <w:szCs w:val="21"/>
              </w:rPr>
              <w:t>nRF24L01模块</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由nRF24L01模块组成，实现高宽带无线数字通信。2块/套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54</w:t>
            </w:r>
          </w:p>
        </w:tc>
        <w:tc>
          <w:tcPr>
            <w:tcW w:w="683" w:type="pct"/>
            <w:vAlign w:val="center"/>
          </w:tcPr>
          <w:p>
            <w:pPr>
              <w:spacing w:line="240" w:lineRule="exact"/>
              <w:jc w:val="left"/>
              <w:rPr>
                <w:szCs w:val="21"/>
              </w:rPr>
            </w:pPr>
            <w:r>
              <w:rPr>
                <w:szCs w:val="21"/>
              </w:rPr>
              <w:t>CAN总线接口模块</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由CAN总线收发器TJA1050T、独立CAN通信控制器SJA1000T、晶振等组成，实现数据的交换。2块/套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Align w:val="center"/>
          </w:tcPr>
          <w:p>
            <w:pPr>
              <w:jc w:val="center"/>
              <w:rPr>
                <w:szCs w:val="21"/>
              </w:rPr>
            </w:pPr>
            <w:r>
              <w:rPr>
                <w:szCs w:val="21"/>
              </w:rPr>
              <w:t>55</w:t>
            </w:r>
          </w:p>
        </w:tc>
        <w:tc>
          <w:tcPr>
            <w:tcW w:w="683" w:type="pct"/>
            <w:vAlign w:val="center"/>
          </w:tcPr>
          <w:p>
            <w:pPr>
              <w:spacing w:line="240" w:lineRule="exact"/>
              <w:jc w:val="left"/>
              <w:rPr>
                <w:szCs w:val="21"/>
              </w:rPr>
            </w:pPr>
            <w:r>
              <w:rPr>
                <w:szCs w:val="21"/>
              </w:rPr>
              <w:t>WIFI模块</w:t>
            </w:r>
          </w:p>
        </w:tc>
        <w:tc>
          <w:tcPr>
            <w:tcW w:w="3919" w:type="pct"/>
            <w:tcBorders>
              <w:top w:val="single" w:color="auto" w:sz="4" w:space="0"/>
              <w:left w:val="nil"/>
              <w:bottom w:val="single" w:color="auto" w:sz="4" w:space="0"/>
              <w:right w:val="single" w:color="auto" w:sz="4" w:space="0"/>
            </w:tcBorders>
            <w:vAlign w:val="center"/>
          </w:tcPr>
          <w:p>
            <w:pPr>
              <w:shd w:val="clear" w:color="auto" w:fill="FFFFFF"/>
              <w:spacing w:line="240" w:lineRule="exact"/>
              <w:jc w:val="left"/>
              <w:rPr>
                <w:szCs w:val="21"/>
              </w:rPr>
            </w:pPr>
            <w:r>
              <w:rPr>
                <w:szCs w:val="21"/>
              </w:rPr>
              <w:t>提供WIFI模块，实现串口、以太网和无线网三个端口之间的数据转换。2块/套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Merge w:val="restart"/>
            <w:vAlign w:val="center"/>
          </w:tcPr>
          <w:p>
            <w:pPr>
              <w:spacing w:line="240" w:lineRule="exact"/>
              <w:jc w:val="center"/>
              <w:rPr>
                <w:szCs w:val="21"/>
              </w:rPr>
            </w:pPr>
            <w:r>
              <w:rPr>
                <w:szCs w:val="21"/>
              </w:rPr>
              <w:t>56</w:t>
            </w:r>
          </w:p>
        </w:tc>
        <w:tc>
          <w:tcPr>
            <w:tcW w:w="683" w:type="pct"/>
            <w:vMerge w:val="restart"/>
            <w:vAlign w:val="center"/>
          </w:tcPr>
          <w:p>
            <w:pPr>
              <w:spacing w:line="240" w:lineRule="exact"/>
              <w:jc w:val="left"/>
              <w:rPr>
                <w:szCs w:val="21"/>
              </w:rPr>
            </w:pPr>
            <w:r>
              <w:rPr>
                <w:szCs w:val="21"/>
              </w:rPr>
              <w:t>应完成的实验项目</w:t>
            </w:r>
          </w:p>
        </w:tc>
        <w:tc>
          <w:tcPr>
            <w:tcW w:w="3919" w:type="pct"/>
            <w:vAlign w:val="center"/>
          </w:tcPr>
          <w:p>
            <w:pPr>
              <w:spacing w:line="240" w:lineRule="exact"/>
              <w:jc w:val="left"/>
              <w:rPr>
                <w:szCs w:val="21"/>
              </w:rPr>
            </w:pPr>
            <w:r>
              <w:rPr>
                <w:szCs w:val="21"/>
              </w:rPr>
              <w:t>要求能完成以下实验项目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Merge w:val="continue"/>
            <w:vAlign w:val="center"/>
          </w:tcPr>
          <w:p>
            <w:pPr>
              <w:spacing w:line="240" w:lineRule="exact"/>
              <w:jc w:val="center"/>
              <w:rPr>
                <w:szCs w:val="21"/>
              </w:rPr>
            </w:pPr>
          </w:p>
        </w:tc>
        <w:tc>
          <w:tcPr>
            <w:tcW w:w="683" w:type="pct"/>
            <w:vMerge w:val="continue"/>
            <w:vAlign w:val="center"/>
          </w:tcPr>
          <w:p>
            <w:pPr>
              <w:spacing w:line="240" w:lineRule="exact"/>
              <w:jc w:val="left"/>
              <w:rPr>
                <w:szCs w:val="21"/>
              </w:rPr>
            </w:pPr>
          </w:p>
        </w:tc>
        <w:tc>
          <w:tcPr>
            <w:tcW w:w="3919" w:type="pct"/>
            <w:vAlign w:val="center"/>
          </w:tcPr>
          <w:p>
            <w:pPr>
              <w:spacing w:line="240" w:lineRule="exact"/>
              <w:jc w:val="left"/>
              <w:rPr>
                <w:szCs w:val="21"/>
              </w:rPr>
            </w:pPr>
            <w:r>
              <w:rPr>
                <w:szCs w:val="21"/>
              </w:rPr>
              <w:t>出租车计价器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Merge w:val="continue"/>
            <w:vAlign w:val="center"/>
          </w:tcPr>
          <w:p>
            <w:pPr>
              <w:spacing w:line="240" w:lineRule="exact"/>
              <w:jc w:val="center"/>
              <w:rPr>
                <w:szCs w:val="21"/>
              </w:rPr>
            </w:pPr>
          </w:p>
        </w:tc>
        <w:tc>
          <w:tcPr>
            <w:tcW w:w="683" w:type="pct"/>
            <w:vMerge w:val="continue"/>
            <w:vAlign w:val="center"/>
          </w:tcPr>
          <w:p>
            <w:pPr>
              <w:spacing w:line="240" w:lineRule="exact"/>
              <w:jc w:val="left"/>
              <w:rPr>
                <w:szCs w:val="21"/>
              </w:rPr>
            </w:pPr>
          </w:p>
        </w:tc>
        <w:tc>
          <w:tcPr>
            <w:tcW w:w="3919" w:type="pct"/>
            <w:vAlign w:val="center"/>
          </w:tcPr>
          <w:p>
            <w:pPr>
              <w:spacing w:line="240" w:lineRule="exact"/>
              <w:jc w:val="left"/>
              <w:rPr>
                <w:szCs w:val="21"/>
              </w:rPr>
            </w:pPr>
            <w:r>
              <w:rPr>
                <w:szCs w:val="21"/>
              </w:rPr>
              <w:t>超声波倒车雷达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Merge w:val="continue"/>
            <w:vAlign w:val="center"/>
          </w:tcPr>
          <w:p>
            <w:pPr>
              <w:spacing w:line="240" w:lineRule="exact"/>
              <w:jc w:val="center"/>
              <w:rPr>
                <w:szCs w:val="21"/>
              </w:rPr>
            </w:pPr>
          </w:p>
        </w:tc>
        <w:tc>
          <w:tcPr>
            <w:tcW w:w="683" w:type="pct"/>
            <w:vMerge w:val="continue"/>
            <w:vAlign w:val="center"/>
          </w:tcPr>
          <w:p>
            <w:pPr>
              <w:spacing w:line="240" w:lineRule="exact"/>
              <w:jc w:val="left"/>
              <w:rPr>
                <w:szCs w:val="21"/>
              </w:rPr>
            </w:pPr>
          </w:p>
        </w:tc>
        <w:tc>
          <w:tcPr>
            <w:tcW w:w="3919" w:type="pct"/>
            <w:vAlign w:val="center"/>
          </w:tcPr>
          <w:p>
            <w:pPr>
              <w:spacing w:line="240" w:lineRule="exact"/>
              <w:jc w:val="left"/>
              <w:rPr>
                <w:szCs w:val="21"/>
              </w:rPr>
            </w:pPr>
            <w:r>
              <w:rPr>
                <w:szCs w:val="21"/>
              </w:rPr>
              <w:t>电子语音万年历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Merge w:val="continue"/>
            <w:vAlign w:val="center"/>
          </w:tcPr>
          <w:p>
            <w:pPr>
              <w:spacing w:line="240" w:lineRule="exact"/>
              <w:jc w:val="center"/>
              <w:rPr>
                <w:szCs w:val="21"/>
              </w:rPr>
            </w:pPr>
          </w:p>
        </w:tc>
        <w:tc>
          <w:tcPr>
            <w:tcW w:w="683" w:type="pct"/>
            <w:vMerge w:val="continue"/>
            <w:vAlign w:val="center"/>
          </w:tcPr>
          <w:p>
            <w:pPr>
              <w:spacing w:line="240" w:lineRule="exact"/>
              <w:jc w:val="left"/>
              <w:rPr>
                <w:szCs w:val="21"/>
              </w:rPr>
            </w:pPr>
          </w:p>
        </w:tc>
        <w:tc>
          <w:tcPr>
            <w:tcW w:w="3919" w:type="pct"/>
            <w:vAlign w:val="center"/>
          </w:tcPr>
          <w:p>
            <w:pPr>
              <w:spacing w:line="240" w:lineRule="exact"/>
              <w:jc w:val="left"/>
              <w:rPr>
                <w:szCs w:val="21"/>
              </w:rPr>
            </w:pPr>
            <w:r>
              <w:rPr>
                <w:szCs w:val="21"/>
              </w:rPr>
              <w:t>电子称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Merge w:val="continue"/>
            <w:vAlign w:val="center"/>
          </w:tcPr>
          <w:p>
            <w:pPr>
              <w:spacing w:line="240" w:lineRule="exact"/>
              <w:jc w:val="center"/>
              <w:rPr>
                <w:szCs w:val="21"/>
              </w:rPr>
            </w:pPr>
          </w:p>
        </w:tc>
        <w:tc>
          <w:tcPr>
            <w:tcW w:w="683" w:type="pct"/>
            <w:vMerge w:val="continue"/>
            <w:vAlign w:val="center"/>
          </w:tcPr>
          <w:p>
            <w:pPr>
              <w:spacing w:line="240" w:lineRule="exact"/>
              <w:jc w:val="left"/>
              <w:rPr>
                <w:szCs w:val="21"/>
              </w:rPr>
            </w:pPr>
          </w:p>
        </w:tc>
        <w:tc>
          <w:tcPr>
            <w:tcW w:w="3919" w:type="pct"/>
            <w:vAlign w:val="center"/>
          </w:tcPr>
          <w:p>
            <w:pPr>
              <w:spacing w:line="240" w:lineRule="exact"/>
              <w:jc w:val="left"/>
              <w:rPr>
                <w:szCs w:val="21"/>
              </w:rPr>
            </w:pPr>
            <w:r>
              <w:rPr>
                <w:szCs w:val="21"/>
              </w:rPr>
              <w:t>交通灯控制系统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Merge w:val="continue"/>
            <w:vAlign w:val="center"/>
          </w:tcPr>
          <w:p>
            <w:pPr>
              <w:spacing w:line="240" w:lineRule="exact"/>
              <w:jc w:val="center"/>
              <w:rPr>
                <w:szCs w:val="21"/>
              </w:rPr>
            </w:pPr>
          </w:p>
        </w:tc>
        <w:tc>
          <w:tcPr>
            <w:tcW w:w="683" w:type="pct"/>
            <w:vMerge w:val="continue"/>
            <w:vAlign w:val="center"/>
          </w:tcPr>
          <w:p>
            <w:pPr>
              <w:spacing w:line="240" w:lineRule="exact"/>
              <w:jc w:val="left"/>
              <w:rPr>
                <w:szCs w:val="21"/>
              </w:rPr>
            </w:pPr>
          </w:p>
        </w:tc>
        <w:tc>
          <w:tcPr>
            <w:tcW w:w="3919" w:type="pct"/>
            <w:vAlign w:val="center"/>
          </w:tcPr>
          <w:p>
            <w:pPr>
              <w:spacing w:line="240" w:lineRule="exact"/>
              <w:jc w:val="left"/>
              <w:rPr>
                <w:szCs w:val="21"/>
              </w:rPr>
            </w:pPr>
            <w:r>
              <w:rPr>
                <w:szCs w:val="21"/>
              </w:rPr>
              <w:t>温度过程控制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Merge w:val="continue"/>
            <w:vAlign w:val="center"/>
          </w:tcPr>
          <w:p>
            <w:pPr>
              <w:spacing w:line="240" w:lineRule="exact"/>
              <w:jc w:val="center"/>
              <w:rPr>
                <w:szCs w:val="21"/>
              </w:rPr>
            </w:pPr>
          </w:p>
        </w:tc>
        <w:tc>
          <w:tcPr>
            <w:tcW w:w="683" w:type="pct"/>
            <w:vMerge w:val="continue"/>
            <w:vAlign w:val="center"/>
          </w:tcPr>
          <w:p>
            <w:pPr>
              <w:spacing w:line="240" w:lineRule="exact"/>
              <w:jc w:val="left"/>
              <w:rPr>
                <w:szCs w:val="21"/>
              </w:rPr>
            </w:pPr>
          </w:p>
        </w:tc>
        <w:tc>
          <w:tcPr>
            <w:tcW w:w="3919" w:type="pct"/>
            <w:vAlign w:val="center"/>
          </w:tcPr>
          <w:p>
            <w:pPr>
              <w:spacing w:line="240" w:lineRule="exact"/>
              <w:jc w:val="left"/>
              <w:rPr>
                <w:szCs w:val="21"/>
              </w:rPr>
            </w:pPr>
            <w:r>
              <w:rPr>
                <w:szCs w:val="21"/>
              </w:rPr>
              <w:t>MP3音乐播放器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Merge w:val="continue"/>
            <w:vAlign w:val="center"/>
          </w:tcPr>
          <w:p>
            <w:pPr>
              <w:spacing w:line="240" w:lineRule="exact"/>
              <w:jc w:val="center"/>
              <w:rPr>
                <w:szCs w:val="21"/>
              </w:rPr>
            </w:pPr>
          </w:p>
        </w:tc>
        <w:tc>
          <w:tcPr>
            <w:tcW w:w="683" w:type="pct"/>
            <w:vMerge w:val="continue"/>
            <w:vAlign w:val="center"/>
          </w:tcPr>
          <w:p>
            <w:pPr>
              <w:spacing w:line="240" w:lineRule="exact"/>
              <w:jc w:val="left"/>
              <w:rPr>
                <w:szCs w:val="21"/>
              </w:rPr>
            </w:pPr>
          </w:p>
        </w:tc>
        <w:tc>
          <w:tcPr>
            <w:tcW w:w="3919" w:type="pct"/>
            <w:vAlign w:val="center"/>
          </w:tcPr>
          <w:p>
            <w:pPr>
              <w:spacing w:line="240" w:lineRule="exact"/>
              <w:jc w:val="left"/>
              <w:rPr>
                <w:szCs w:val="21"/>
              </w:rPr>
            </w:pPr>
            <w:r>
              <w:rPr>
                <w:szCs w:val="21"/>
              </w:rPr>
              <w:t>多路数据采集系统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Merge w:val="continue"/>
            <w:vAlign w:val="center"/>
          </w:tcPr>
          <w:p>
            <w:pPr>
              <w:spacing w:line="240" w:lineRule="exact"/>
              <w:jc w:val="center"/>
              <w:rPr>
                <w:szCs w:val="21"/>
              </w:rPr>
            </w:pPr>
          </w:p>
        </w:tc>
        <w:tc>
          <w:tcPr>
            <w:tcW w:w="683" w:type="pct"/>
            <w:vMerge w:val="continue"/>
            <w:vAlign w:val="center"/>
          </w:tcPr>
          <w:p>
            <w:pPr>
              <w:spacing w:line="240" w:lineRule="exact"/>
              <w:jc w:val="left"/>
              <w:rPr>
                <w:szCs w:val="21"/>
              </w:rPr>
            </w:pPr>
          </w:p>
        </w:tc>
        <w:tc>
          <w:tcPr>
            <w:tcW w:w="3919" w:type="pct"/>
            <w:vAlign w:val="center"/>
          </w:tcPr>
          <w:p>
            <w:pPr>
              <w:spacing w:line="240" w:lineRule="exact"/>
              <w:jc w:val="left"/>
              <w:rPr>
                <w:szCs w:val="21"/>
              </w:rPr>
            </w:pPr>
            <w:r>
              <w:rPr>
                <w:szCs w:val="21"/>
              </w:rPr>
              <w:t>DDS信号发生器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Merge w:val="continue"/>
            <w:vAlign w:val="center"/>
          </w:tcPr>
          <w:p>
            <w:pPr>
              <w:spacing w:line="240" w:lineRule="exact"/>
              <w:jc w:val="center"/>
              <w:rPr>
                <w:szCs w:val="21"/>
              </w:rPr>
            </w:pPr>
          </w:p>
        </w:tc>
        <w:tc>
          <w:tcPr>
            <w:tcW w:w="683" w:type="pct"/>
            <w:vMerge w:val="continue"/>
            <w:vAlign w:val="center"/>
          </w:tcPr>
          <w:p>
            <w:pPr>
              <w:spacing w:line="240" w:lineRule="exact"/>
              <w:jc w:val="left"/>
              <w:rPr>
                <w:szCs w:val="21"/>
              </w:rPr>
            </w:pPr>
          </w:p>
        </w:tc>
        <w:tc>
          <w:tcPr>
            <w:tcW w:w="3919" w:type="pct"/>
            <w:vAlign w:val="center"/>
          </w:tcPr>
          <w:p>
            <w:pPr>
              <w:spacing w:line="240" w:lineRule="exact"/>
              <w:jc w:val="left"/>
              <w:rPr>
                <w:szCs w:val="21"/>
              </w:rPr>
            </w:pPr>
            <w:r>
              <w:rPr>
                <w:szCs w:val="21"/>
              </w:rPr>
              <w:t>实时视频监控系统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8" w:type="pct"/>
            <w:vMerge w:val="continue"/>
            <w:vAlign w:val="center"/>
          </w:tcPr>
          <w:p>
            <w:pPr>
              <w:spacing w:line="240" w:lineRule="exact"/>
              <w:jc w:val="center"/>
              <w:rPr>
                <w:szCs w:val="21"/>
              </w:rPr>
            </w:pPr>
          </w:p>
        </w:tc>
        <w:tc>
          <w:tcPr>
            <w:tcW w:w="683" w:type="pct"/>
            <w:vMerge w:val="continue"/>
            <w:vAlign w:val="center"/>
          </w:tcPr>
          <w:p>
            <w:pPr>
              <w:spacing w:line="240" w:lineRule="exact"/>
              <w:jc w:val="left"/>
              <w:rPr>
                <w:szCs w:val="21"/>
              </w:rPr>
            </w:pPr>
          </w:p>
        </w:tc>
        <w:tc>
          <w:tcPr>
            <w:tcW w:w="3919" w:type="pct"/>
            <w:vAlign w:val="center"/>
          </w:tcPr>
          <w:p>
            <w:pPr>
              <w:spacing w:line="240" w:lineRule="exact"/>
              <w:jc w:val="left"/>
              <w:rPr>
                <w:szCs w:val="21"/>
              </w:rPr>
            </w:pPr>
            <w:r>
              <w:rPr>
                <w:szCs w:val="21"/>
              </w:rPr>
              <w:t>GPS 信息显示</w:t>
            </w:r>
          </w:p>
        </w:tc>
      </w:tr>
    </w:tbl>
    <w:p>
      <w:pPr>
        <w:rPr>
          <w:szCs w:val="21"/>
        </w:rPr>
      </w:pPr>
    </w:p>
    <w:p>
      <w:pPr>
        <w:ind w:firstLine="120" w:firstLineChars="50"/>
        <w:outlineLvl w:val="2"/>
        <w:rPr>
          <w:rFonts w:asciiTheme="minorEastAsia" w:hAnsiTheme="minorEastAsia" w:eastAsiaTheme="minorEastAsia"/>
          <w:b/>
          <w:bCs/>
          <w:sz w:val="24"/>
        </w:rPr>
      </w:pPr>
      <w:r>
        <w:rPr>
          <w:rFonts w:hint="eastAsia" w:cs="宋体" w:asciiTheme="minorEastAsia" w:hAnsiTheme="minorEastAsia" w:eastAsiaTheme="minorEastAsia"/>
          <w:b/>
          <w:bCs/>
          <w:sz w:val="24"/>
        </w:rPr>
        <w:t>（十一）可移动型材电脑桌</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837"/>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12" w:type="pct"/>
            <w:vAlign w:val="center"/>
          </w:tcPr>
          <w:p>
            <w:pPr>
              <w:jc w:val="center"/>
              <w:rPr>
                <w:b/>
                <w:bCs/>
                <w:szCs w:val="21"/>
              </w:rPr>
            </w:pPr>
            <w:r>
              <w:rPr>
                <w:b/>
                <w:bCs/>
                <w:szCs w:val="21"/>
              </w:rPr>
              <w:t>序号</w:t>
            </w:r>
          </w:p>
        </w:tc>
        <w:tc>
          <w:tcPr>
            <w:tcW w:w="491" w:type="pct"/>
            <w:vAlign w:val="center"/>
          </w:tcPr>
          <w:p>
            <w:pPr>
              <w:jc w:val="center"/>
              <w:rPr>
                <w:b/>
                <w:bCs/>
                <w:szCs w:val="21"/>
              </w:rPr>
            </w:pPr>
            <w:r>
              <w:rPr>
                <w:b/>
                <w:bCs/>
                <w:szCs w:val="21"/>
              </w:rPr>
              <w:t>名称</w:t>
            </w:r>
          </w:p>
        </w:tc>
        <w:tc>
          <w:tcPr>
            <w:tcW w:w="4097" w:type="pct"/>
            <w:vAlign w:val="center"/>
          </w:tcPr>
          <w:p>
            <w:pPr>
              <w:jc w:val="center"/>
              <w:rPr>
                <w:b/>
                <w:bCs/>
                <w:szCs w:val="21"/>
              </w:rPr>
            </w:pPr>
            <w:r>
              <w:rPr>
                <w:b/>
                <w:bCs/>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12" w:type="pct"/>
            <w:vMerge w:val="restart"/>
            <w:vAlign w:val="center"/>
          </w:tcPr>
          <w:p>
            <w:pPr>
              <w:jc w:val="center"/>
              <w:rPr>
                <w:szCs w:val="21"/>
              </w:rPr>
            </w:pPr>
            <w:r>
              <w:rPr>
                <w:szCs w:val="21"/>
              </w:rPr>
              <w:t>1</w:t>
            </w:r>
          </w:p>
        </w:tc>
        <w:tc>
          <w:tcPr>
            <w:tcW w:w="491" w:type="pct"/>
            <w:vMerge w:val="restart"/>
            <w:vAlign w:val="center"/>
          </w:tcPr>
          <w:p>
            <w:pPr>
              <w:jc w:val="center"/>
              <w:rPr>
                <w:szCs w:val="21"/>
              </w:rPr>
            </w:pPr>
            <w:r>
              <w:rPr>
                <w:szCs w:val="21"/>
              </w:rPr>
              <w:t>型材电脑桌</w:t>
            </w:r>
          </w:p>
        </w:tc>
        <w:tc>
          <w:tcPr>
            <w:tcW w:w="4097" w:type="pct"/>
            <w:vAlign w:val="center"/>
          </w:tcPr>
          <w:p>
            <w:pPr>
              <w:jc w:val="left"/>
              <w:rPr>
                <w:szCs w:val="21"/>
              </w:rPr>
            </w:pPr>
            <w:r>
              <w:rPr>
                <w:szCs w:val="21"/>
              </w:rPr>
              <w:t>要求采用铝型材和钣金结构，用于放置计算机，上方装有显示器挡板，下方设有键盘托盘和主机底板，并装有万向轮，方便移动。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12" w:type="pct"/>
            <w:vMerge w:val="continue"/>
            <w:vAlign w:val="center"/>
          </w:tcPr>
          <w:p>
            <w:pPr>
              <w:jc w:val="center"/>
              <w:rPr>
                <w:szCs w:val="21"/>
              </w:rPr>
            </w:pPr>
          </w:p>
        </w:tc>
        <w:tc>
          <w:tcPr>
            <w:tcW w:w="491" w:type="pct"/>
            <w:vMerge w:val="continue"/>
            <w:vAlign w:val="center"/>
          </w:tcPr>
          <w:p>
            <w:pPr>
              <w:jc w:val="center"/>
              <w:rPr>
                <w:szCs w:val="21"/>
              </w:rPr>
            </w:pPr>
          </w:p>
        </w:tc>
        <w:tc>
          <w:tcPr>
            <w:tcW w:w="4097" w:type="pct"/>
            <w:vAlign w:val="center"/>
          </w:tcPr>
          <w:p>
            <w:pPr>
              <w:jc w:val="left"/>
              <w:rPr>
                <w:szCs w:val="21"/>
              </w:rPr>
            </w:pPr>
            <w:r>
              <w:rPr>
                <w:szCs w:val="21"/>
              </w:rPr>
              <w:t>外形尺寸（长×宽×高）：560mm×600mm×1020mm</w:t>
            </w:r>
          </w:p>
        </w:tc>
      </w:tr>
    </w:tbl>
    <w:p>
      <w:pPr>
        <w:rPr>
          <w:rFonts w:asciiTheme="minorEastAsia" w:hAnsiTheme="minorEastAsia" w:eastAsiaTheme="minorEastAsia"/>
        </w:rPr>
      </w:pPr>
    </w:p>
    <w:p>
      <w:pPr>
        <w:ind w:firstLine="120" w:firstLineChars="50"/>
        <w:outlineLvl w:val="2"/>
        <w:rPr>
          <w:rFonts w:asciiTheme="minorEastAsia" w:hAnsiTheme="minorEastAsia" w:eastAsiaTheme="minorEastAsia"/>
          <w:b/>
          <w:bCs/>
          <w:sz w:val="24"/>
        </w:rPr>
      </w:pPr>
      <w:r>
        <w:rPr>
          <w:rFonts w:hint="eastAsia" w:cs="宋体" w:asciiTheme="minorEastAsia" w:hAnsiTheme="minorEastAsia" w:eastAsiaTheme="minorEastAsia"/>
          <w:b/>
          <w:bCs/>
          <w:sz w:val="24"/>
        </w:rPr>
        <w:t>（十二）存储柜（定制）</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837"/>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12" w:type="pct"/>
            <w:vAlign w:val="center"/>
          </w:tcPr>
          <w:p>
            <w:pPr>
              <w:jc w:val="center"/>
              <w:rPr>
                <w:rFonts w:eastAsiaTheme="minorEastAsia"/>
                <w:b/>
                <w:bCs/>
                <w:szCs w:val="21"/>
              </w:rPr>
            </w:pPr>
            <w:r>
              <w:rPr>
                <w:rFonts w:eastAsiaTheme="minorEastAsia"/>
                <w:b/>
                <w:bCs/>
                <w:szCs w:val="21"/>
              </w:rPr>
              <w:t>序号</w:t>
            </w:r>
          </w:p>
        </w:tc>
        <w:tc>
          <w:tcPr>
            <w:tcW w:w="491" w:type="pct"/>
            <w:vAlign w:val="center"/>
          </w:tcPr>
          <w:p>
            <w:pPr>
              <w:jc w:val="center"/>
              <w:rPr>
                <w:rFonts w:eastAsiaTheme="minorEastAsia"/>
                <w:b/>
                <w:bCs/>
                <w:szCs w:val="21"/>
              </w:rPr>
            </w:pPr>
            <w:r>
              <w:rPr>
                <w:rFonts w:eastAsiaTheme="minorEastAsia"/>
                <w:b/>
                <w:bCs/>
                <w:szCs w:val="21"/>
              </w:rPr>
              <w:t>名称</w:t>
            </w:r>
          </w:p>
        </w:tc>
        <w:tc>
          <w:tcPr>
            <w:tcW w:w="4097" w:type="pct"/>
            <w:vAlign w:val="center"/>
          </w:tcPr>
          <w:p>
            <w:pPr>
              <w:jc w:val="center"/>
              <w:rPr>
                <w:rFonts w:eastAsiaTheme="minorEastAsia"/>
                <w:b/>
                <w:bCs/>
                <w:szCs w:val="21"/>
              </w:rPr>
            </w:pPr>
            <w:r>
              <w:rPr>
                <w:rFonts w:eastAsiaTheme="minorEastAsia"/>
                <w:b/>
                <w:bCs/>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12" w:type="pct"/>
            <w:vMerge w:val="restart"/>
            <w:vAlign w:val="center"/>
          </w:tcPr>
          <w:p>
            <w:pPr>
              <w:jc w:val="center"/>
              <w:rPr>
                <w:rFonts w:eastAsiaTheme="minorEastAsia"/>
                <w:szCs w:val="21"/>
              </w:rPr>
            </w:pPr>
            <w:r>
              <w:rPr>
                <w:rFonts w:eastAsiaTheme="minorEastAsia"/>
                <w:szCs w:val="21"/>
              </w:rPr>
              <w:t>1</w:t>
            </w:r>
          </w:p>
        </w:tc>
        <w:tc>
          <w:tcPr>
            <w:tcW w:w="491" w:type="pct"/>
            <w:vMerge w:val="restart"/>
            <w:vAlign w:val="center"/>
          </w:tcPr>
          <w:p>
            <w:pPr>
              <w:jc w:val="center"/>
              <w:rPr>
                <w:rFonts w:eastAsiaTheme="minorEastAsia"/>
                <w:szCs w:val="21"/>
              </w:rPr>
            </w:pPr>
            <w:r>
              <w:rPr>
                <w:rFonts w:eastAsiaTheme="minorEastAsia"/>
                <w:szCs w:val="21"/>
              </w:rPr>
              <w:t>存储柜（定制）</w:t>
            </w:r>
          </w:p>
        </w:tc>
        <w:tc>
          <w:tcPr>
            <w:tcW w:w="4097" w:type="pct"/>
            <w:vAlign w:val="center"/>
          </w:tcPr>
          <w:p>
            <w:pPr>
              <w:jc w:val="left"/>
              <w:rPr>
                <w:rFonts w:eastAsiaTheme="minorEastAsia"/>
                <w:szCs w:val="21"/>
              </w:rPr>
            </w:pPr>
            <w:r>
              <w:rPr>
                <w:rFonts w:eastAsiaTheme="minorEastAsia"/>
                <w:szCs w:val="21"/>
              </w:rPr>
              <w:t>要求采用铁质双层亚光密纹喷塑结构，能够存放电工技能训练网孔板和器件等；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12" w:type="pct"/>
            <w:vMerge w:val="continue"/>
            <w:vAlign w:val="center"/>
          </w:tcPr>
          <w:p>
            <w:pPr>
              <w:jc w:val="center"/>
              <w:rPr>
                <w:rFonts w:eastAsiaTheme="minorEastAsia"/>
                <w:szCs w:val="21"/>
              </w:rPr>
            </w:pPr>
          </w:p>
        </w:tc>
        <w:tc>
          <w:tcPr>
            <w:tcW w:w="491" w:type="pct"/>
            <w:vMerge w:val="continue"/>
            <w:vAlign w:val="center"/>
          </w:tcPr>
          <w:p>
            <w:pPr>
              <w:jc w:val="center"/>
              <w:rPr>
                <w:rFonts w:eastAsiaTheme="minorEastAsia"/>
                <w:szCs w:val="21"/>
              </w:rPr>
            </w:pPr>
          </w:p>
        </w:tc>
        <w:tc>
          <w:tcPr>
            <w:tcW w:w="4097" w:type="pct"/>
            <w:vAlign w:val="center"/>
          </w:tcPr>
          <w:p>
            <w:pPr>
              <w:jc w:val="left"/>
              <w:rPr>
                <w:rFonts w:eastAsiaTheme="minorEastAsia"/>
                <w:szCs w:val="21"/>
              </w:rPr>
            </w:pPr>
            <w:r>
              <w:rPr>
                <w:rFonts w:eastAsiaTheme="minorEastAsia"/>
                <w:szCs w:val="21"/>
              </w:rPr>
              <w:t>外形尺寸（长×宽×高）：1000×500×1800</w:t>
            </w:r>
          </w:p>
        </w:tc>
      </w:tr>
    </w:tbl>
    <w:p>
      <w:pPr>
        <w:rPr>
          <w:rFonts w:asciiTheme="minorEastAsia" w:hAnsiTheme="minorEastAsia" w:eastAsiaTheme="minorEastAsia"/>
        </w:rPr>
      </w:pPr>
    </w:p>
    <w:p>
      <w:pPr>
        <w:ind w:firstLine="120" w:firstLineChars="50"/>
        <w:outlineLvl w:val="2"/>
        <w:rPr>
          <w:rFonts w:asciiTheme="minorEastAsia" w:hAnsiTheme="minorEastAsia" w:eastAsiaTheme="minorEastAsia"/>
          <w:b/>
          <w:bCs/>
          <w:sz w:val="24"/>
        </w:rPr>
      </w:pPr>
      <w:r>
        <w:rPr>
          <w:rFonts w:hint="eastAsia" w:cs="宋体" w:asciiTheme="minorEastAsia" w:hAnsiTheme="minorEastAsia" w:eastAsiaTheme="minorEastAsia"/>
          <w:b/>
          <w:bCs/>
          <w:sz w:val="24"/>
        </w:rPr>
        <w:t>（十三）台式电脑</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832"/>
        <w:gridCol w:w="7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05"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b/>
                <w:bCs/>
                <w:szCs w:val="21"/>
              </w:rPr>
            </w:pPr>
            <w:r>
              <w:rPr>
                <w:rFonts w:eastAsiaTheme="minorEastAsia"/>
                <w:b/>
                <w:bCs/>
                <w:szCs w:val="21"/>
              </w:rPr>
              <w:t>序号</w:t>
            </w:r>
          </w:p>
        </w:tc>
        <w:tc>
          <w:tcPr>
            <w:tcW w:w="488"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b/>
                <w:bCs/>
                <w:szCs w:val="21"/>
              </w:rPr>
            </w:pPr>
            <w:r>
              <w:rPr>
                <w:rFonts w:eastAsiaTheme="minorEastAsia"/>
                <w:b/>
                <w:bCs/>
                <w:szCs w:val="21"/>
              </w:rPr>
              <w:t>名称</w:t>
            </w:r>
          </w:p>
        </w:tc>
        <w:tc>
          <w:tcPr>
            <w:tcW w:w="4107"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b/>
                <w:bCs/>
                <w:szCs w:val="21"/>
              </w:rPr>
            </w:pPr>
            <w:r>
              <w:rPr>
                <w:rFonts w:eastAsiaTheme="minorEastAsia"/>
                <w:b/>
                <w:bCs/>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05" w:type="pct"/>
            <w:vMerge w:val="restart"/>
            <w:tcBorders>
              <w:top w:val="single" w:color="auto" w:sz="4" w:space="0"/>
              <w:left w:val="single" w:color="auto" w:sz="4" w:space="0"/>
              <w:right w:val="single" w:color="auto" w:sz="4" w:space="0"/>
            </w:tcBorders>
            <w:shd w:val="clear" w:color="auto" w:fill="auto"/>
            <w:vAlign w:val="center"/>
          </w:tcPr>
          <w:p>
            <w:pPr>
              <w:spacing w:line="320" w:lineRule="exact"/>
              <w:jc w:val="center"/>
              <w:rPr>
                <w:rFonts w:eastAsiaTheme="minorEastAsia"/>
                <w:szCs w:val="21"/>
              </w:rPr>
            </w:pPr>
            <w:r>
              <w:rPr>
                <w:rFonts w:eastAsiaTheme="minorEastAsia"/>
                <w:szCs w:val="21"/>
              </w:rPr>
              <w:t>1</w:t>
            </w:r>
          </w:p>
        </w:tc>
        <w:tc>
          <w:tcPr>
            <w:tcW w:w="488" w:type="pct"/>
            <w:vMerge w:val="restart"/>
            <w:tcBorders>
              <w:top w:val="single" w:color="auto" w:sz="4" w:space="0"/>
              <w:left w:val="single" w:color="auto" w:sz="4" w:space="0"/>
              <w:right w:val="single" w:color="auto" w:sz="4" w:space="0"/>
            </w:tcBorders>
            <w:shd w:val="clear" w:color="auto" w:fill="auto"/>
            <w:vAlign w:val="center"/>
          </w:tcPr>
          <w:p>
            <w:pPr>
              <w:spacing w:line="320" w:lineRule="exact"/>
              <w:jc w:val="center"/>
              <w:rPr>
                <w:rFonts w:eastAsiaTheme="minorEastAsia"/>
                <w:szCs w:val="21"/>
              </w:rPr>
            </w:pPr>
            <w:r>
              <w:rPr>
                <w:rFonts w:eastAsiaTheme="minorEastAsia"/>
                <w:szCs w:val="21"/>
              </w:rPr>
              <w:t>台式电脑</w:t>
            </w:r>
          </w:p>
        </w:tc>
        <w:tc>
          <w:tcPr>
            <w:tcW w:w="4107" w:type="pct"/>
            <w:tcBorders>
              <w:top w:val="single" w:color="auto" w:sz="8" w:space="0"/>
              <w:left w:val="single" w:color="auto" w:sz="8" w:space="0"/>
              <w:bottom w:val="single" w:color="auto" w:sz="8" w:space="0"/>
              <w:right w:val="single" w:color="auto" w:sz="8" w:space="0"/>
            </w:tcBorders>
            <w:shd w:val="clear" w:color="auto" w:fill="FFFFFF"/>
            <w:vAlign w:val="center"/>
          </w:tcPr>
          <w:p>
            <w:pPr>
              <w:spacing w:line="320" w:lineRule="exact"/>
              <w:jc w:val="left"/>
              <w:rPr>
                <w:rFonts w:eastAsiaTheme="minorEastAsia"/>
                <w:szCs w:val="21"/>
              </w:rPr>
            </w:pPr>
            <w:r>
              <w:rPr>
                <w:rFonts w:eastAsiaTheme="minorEastAsia"/>
                <w:szCs w:val="21"/>
              </w:rPr>
              <w:t>CPU:INTEL I7-9700（3.0 GHz，最高睿频：4.7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05" w:type="pct"/>
            <w:vMerge w:val="continue"/>
            <w:tcBorders>
              <w:left w:val="single" w:color="auto" w:sz="4" w:space="0"/>
              <w:right w:val="single" w:color="auto" w:sz="4" w:space="0"/>
            </w:tcBorders>
            <w:shd w:val="clear" w:color="auto" w:fill="auto"/>
            <w:vAlign w:val="center"/>
          </w:tcPr>
          <w:p>
            <w:pPr>
              <w:spacing w:line="320" w:lineRule="exact"/>
              <w:jc w:val="center"/>
              <w:rPr>
                <w:rFonts w:eastAsiaTheme="minorEastAsia"/>
                <w:szCs w:val="21"/>
              </w:rPr>
            </w:pPr>
          </w:p>
        </w:tc>
        <w:tc>
          <w:tcPr>
            <w:tcW w:w="488" w:type="pct"/>
            <w:vMerge w:val="continue"/>
            <w:tcBorders>
              <w:left w:val="single" w:color="auto" w:sz="4" w:space="0"/>
              <w:right w:val="single" w:color="auto" w:sz="4" w:space="0"/>
            </w:tcBorders>
            <w:shd w:val="clear" w:color="auto" w:fill="auto"/>
            <w:vAlign w:val="center"/>
          </w:tcPr>
          <w:p>
            <w:pPr>
              <w:spacing w:line="320" w:lineRule="exact"/>
              <w:jc w:val="center"/>
              <w:rPr>
                <w:rFonts w:eastAsiaTheme="minorEastAsia"/>
                <w:szCs w:val="21"/>
              </w:rPr>
            </w:pPr>
          </w:p>
        </w:tc>
        <w:tc>
          <w:tcPr>
            <w:tcW w:w="4107" w:type="pct"/>
            <w:tcBorders>
              <w:top w:val="single" w:color="auto" w:sz="8" w:space="0"/>
              <w:left w:val="single" w:color="auto" w:sz="8" w:space="0"/>
              <w:bottom w:val="single" w:color="auto" w:sz="8" w:space="0"/>
              <w:right w:val="single" w:color="auto" w:sz="8" w:space="0"/>
            </w:tcBorders>
            <w:shd w:val="clear" w:color="auto" w:fill="FFFFFF"/>
            <w:vAlign w:val="center"/>
          </w:tcPr>
          <w:p>
            <w:pPr>
              <w:spacing w:line="320" w:lineRule="exact"/>
              <w:jc w:val="left"/>
              <w:rPr>
                <w:rFonts w:eastAsiaTheme="minorEastAsia"/>
                <w:szCs w:val="21"/>
              </w:rPr>
            </w:pPr>
            <w:r>
              <w:rPr>
                <w:rFonts w:eastAsiaTheme="minorEastAsia"/>
                <w:szCs w:val="21"/>
              </w:rPr>
              <w:t>内存：DDR4 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05" w:type="pct"/>
            <w:vMerge w:val="continue"/>
            <w:tcBorders>
              <w:left w:val="single" w:color="auto" w:sz="4" w:space="0"/>
              <w:right w:val="single" w:color="auto" w:sz="4" w:space="0"/>
            </w:tcBorders>
            <w:shd w:val="clear" w:color="auto" w:fill="auto"/>
            <w:vAlign w:val="center"/>
          </w:tcPr>
          <w:p>
            <w:pPr>
              <w:spacing w:line="320" w:lineRule="exact"/>
              <w:jc w:val="center"/>
              <w:rPr>
                <w:rFonts w:eastAsiaTheme="minorEastAsia"/>
                <w:szCs w:val="21"/>
              </w:rPr>
            </w:pPr>
          </w:p>
        </w:tc>
        <w:tc>
          <w:tcPr>
            <w:tcW w:w="488" w:type="pct"/>
            <w:vMerge w:val="continue"/>
            <w:tcBorders>
              <w:left w:val="single" w:color="auto" w:sz="4" w:space="0"/>
              <w:right w:val="single" w:color="auto" w:sz="4" w:space="0"/>
            </w:tcBorders>
            <w:shd w:val="clear" w:color="auto" w:fill="auto"/>
            <w:vAlign w:val="center"/>
          </w:tcPr>
          <w:p>
            <w:pPr>
              <w:spacing w:line="320" w:lineRule="exact"/>
              <w:jc w:val="center"/>
              <w:rPr>
                <w:rFonts w:eastAsiaTheme="minorEastAsia"/>
                <w:szCs w:val="21"/>
              </w:rPr>
            </w:pPr>
          </w:p>
        </w:tc>
        <w:tc>
          <w:tcPr>
            <w:tcW w:w="4107" w:type="pct"/>
            <w:tcBorders>
              <w:top w:val="single" w:color="auto" w:sz="8" w:space="0"/>
              <w:left w:val="single" w:color="auto" w:sz="8" w:space="0"/>
              <w:bottom w:val="single" w:color="auto" w:sz="8" w:space="0"/>
              <w:right w:val="single" w:color="auto" w:sz="8" w:space="0"/>
            </w:tcBorders>
            <w:shd w:val="clear" w:color="auto" w:fill="FFFFFF"/>
            <w:vAlign w:val="center"/>
          </w:tcPr>
          <w:p>
            <w:pPr>
              <w:spacing w:line="320" w:lineRule="exact"/>
              <w:jc w:val="left"/>
              <w:rPr>
                <w:rFonts w:eastAsiaTheme="minorEastAsia"/>
                <w:szCs w:val="21"/>
              </w:rPr>
            </w:pPr>
            <w:r>
              <w:rPr>
                <w:rFonts w:eastAsiaTheme="minorEastAsia"/>
                <w:szCs w:val="21"/>
              </w:rPr>
              <w:t>硬盘：1TB HDD  7200转/分钟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05" w:type="pct"/>
            <w:vMerge w:val="continue"/>
            <w:tcBorders>
              <w:left w:val="single" w:color="auto" w:sz="4" w:space="0"/>
              <w:right w:val="single" w:color="auto" w:sz="4" w:space="0"/>
            </w:tcBorders>
            <w:shd w:val="clear" w:color="auto" w:fill="auto"/>
            <w:vAlign w:val="center"/>
          </w:tcPr>
          <w:p>
            <w:pPr>
              <w:spacing w:line="320" w:lineRule="exact"/>
              <w:jc w:val="center"/>
              <w:rPr>
                <w:rFonts w:eastAsiaTheme="minorEastAsia"/>
                <w:szCs w:val="21"/>
              </w:rPr>
            </w:pPr>
          </w:p>
        </w:tc>
        <w:tc>
          <w:tcPr>
            <w:tcW w:w="488" w:type="pct"/>
            <w:vMerge w:val="continue"/>
            <w:tcBorders>
              <w:left w:val="single" w:color="auto" w:sz="4" w:space="0"/>
              <w:right w:val="single" w:color="auto" w:sz="4" w:space="0"/>
            </w:tcBorders>
            <w:shd w:val="clear" w:color="auto" w:fill="auto"/>
            <w:vAlign w:val="center"/>
          </w:tcPr>
          <w:p>
            <w:pPr>
              <w:spacing w:line="320" w:lineRule="exact"/>
              <w:jc w:val="center"/>
              <w:rPr>
                <w:rFonts w:eastAsiaTheme="minorEastAsia"/>
                <w:szCs w:val="21"/>
              </w:rPr>
            </w:pPr>
          </w:p>
        </w:tc>
        <w:tc>
          <w:tcPr>
            <w:tcW w:w="4107" w:type="pct"/>
            <w:tcBorders>
              <w:top w:val="single" w:color="auto" w:sz="8" w:space="0"/>
              <w:left w:val="single" w:color="auto" w:sz="8" w:space="0"/>
              <w:bottom w:val="single" w:color="auto" w:sz="8" w:space="0"/>
              <w:right w:val="single" w:color="auto" w:sz="8" w:space="0"/>
            </w:tcBorders>
            <w:shd w:val="clear" w:color="auto" w:fill="FFFFFF"/>
            <w:vAlign w:val="center"/>
          </w:tcPr>
          <w:p>
            <w:pPr>
              <w:spacing w:line="320" w:lineRule="exact"/>
              <w:jc w:val="left"/>
              <w:rPr>
                <w:rFonts w:eastAsiaTheme="minorEastAsia"/>
                <w:szCs w:val="21"/>
              </w:rPr>
            </w:pPr>
            <w:r>
              <w:rPr>
                <w:rFonts w:eastAsiaTheme="minorEastAsia"/>
                <w:szCs w:val="21"/>
              </w:rPr>
              <w:t>显卡：GT730-2G独立显卡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05" w:type="pct"/>
            <w:vMerge w:val="continue"/>
            <w:tcBorders>
              <w:left w:val="single" w:color="auto" w:sz="4" w:space="0"/>
              <w:right w:val="single" w:color="auto" w:sz="4" w:space="0"/>
            </w:tcBorders>
            <w:shd w:val="clear" w:color="auto" w:fill="auto"/>
            <w:vAlign w:val="center"/>
          </w:tcPr>
          <w:p>
            <w:pPr>
              <w:spacing w:line="320" w:lineRule="exact"/>
              <w:jc w:val="center"/>
              <w:rPr>
                <w:rFonts w:eastAsiaTheme="minorEastAsia"/>
                <w:szCs w:val="21"/>
              </w:rPr>
            </w:pPr>
          </w:p>
        </w:tc>
        <w:tc>
          <w:tcPr>
            <w:tcW w:w="488" w:type="pct"/>
            <w:vMerge w:val="continue"/>
            <w:tcBorders>
              <w:left w:val="single" w:color="auto" w:sz="4" w:space="0"/>
              <w:right w:val="single" w:color="auto" w:sz="4" w:space="0"/>
            </w:tcBorders>
            <w:shd w:val="clear" w:color="auto" w:fill="auto"/>
            <w:vAlign w:val="center"/>
          </w:tcPr>
          <w:p>
            <w:pPr>
              <w:spacing w:line="320" w:lineRule="exact"/>
              <w:jc w:val="center"/>
              <w:rPr>
                <w:rFonts w:eastAsiaTheme="minorEastAsia"/>
                <w:szCs w:val="21"/>
              </w:rPr>
            </w:pPr>
          </w:p>
        </w:tc>
        <w:tc>
          <w:tcPr>
            <w:tcW w:w="4107" w:type="pct"/>
            <w:tcBorders>
              <w:top w:val="single" w:color="auto" w:sz="8" w:space="0"/>
              <w:left w:val="single" w:color="auto" w:sz="8" w:space="0"/>
              <w:bottom w:val="single" w:color="auto" w:sz="8" w:space="0"/>
              <w:right w:val="single" w:color="auto" w:sz="8" w:space="0"/>
            </w:tcBorders>
            <w:shd w:val="clear" w:color="auto" w:fill="FFFFFF"/>
            <w:vAlign w:val="center"/>
          </w:tcPr>
          <w:p>
            <w:pPr>
              <w:spacing w:line="320" w:lineRule="exact"/>
              <w:jc w:val="left"/>
              <w:rPr>
                <w:rFonts w:eastAsiaTheme="minorEastAsia"/>
                <w:szCs w:val="21"/>
              </w:rPr>
            </w:pPr>
            <w:r>
              <w:rPr>
                <w:rFonts w:eastAsiaTheme="minorEastAsia"/>
                <w:szCs w:val="21"/>
              </w:rPr>
              <w:t>光驱：DVDRW刻录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05" w:type="pct"/>
            <w:vMerge w:val="continue"/>
            <w:tcBorders>
              <w:left w:val="single" w:color="auto" w:sz="4" w:space="0"/>
              <w:right w:val="single" w:color="auto" w:sz="4" w:space="0"/>
            </w:tcBorders>
            <w:shd w:val="clear" w:color="auto" w:fill="auto"/>
            <w:vAlign w:val="center"/>
          </w:tcPr>
          <w:p>
            <w:pPr>
              <w:spacing w:line="320" w:lineRule="exact"/>
              <w:jc w:val="center"/>
              <w:rPr>
                <w:rFonts w:eastAsiaTheme="minorEastAsia"/>
                <w:szCs w:val="21"/>
              </w:rPr>
            </w:pPr>
          </w:p>
        </w:tc>
        <w:tc>
          <w:tcPr>
            <w:tcW w:w="488" w:type="pct"/>
            <w:vMerge w:val="continue"/>
            <w:tcBorders>
              <w:left w:val="single" w:color="auto" w:sz="4" w:space="0"/>
              <w:right w:val="single" w:color="auto" w:sz="4" w:space="0"/>
            </w:tcBorders>
            <w:shd w:val="clear" w:color="auto" w:fill="auto"/>
            <w:vAlign w:val="center"/>
          </w:tcPr>
          <w:p>
            <w:pPr>
              <w:spacing w:line="320" w:lineRule="exact"/>
              <w:jc w:val="center"/>
              <w:rPr>
                <w:rFonts w:eastAsiaTheme="minorEastAsia"/>
                <w:szCs w:val="21"/>
              </w:rPr>
            </w:pPr>
          </w:p>
        </w:tc>
        <w:tc>
          <w:tcPr>
            <w:tcW w:w="4107" w:type="pct"/>
            <w:tcBorders>
              <w:top w:val="single" w:color="auto" w:sz="8" w:space="0"/>
              <w:left w:val="single" w:color="auto" w:sz="8" w:space="0"/>
              <w:bottom w:val="single" w:color="auto" w:sz="8" w:space="0"/>
              <w:right w:val="single" w:color="auto" w:sz="8" w:space="0"/>
            </w:tcBorders>
            <w:shd w:val="clear" w:color="auto" w:fill="FFFFFF"/>
            <w:vAlign w:val="center"/>
          </w:tcPr>
          <w:p>
            <w:pPr>
              <w:spacing w:line="320" w:lineRule="exact"/>
              <w:jc w:val="left"/>
              <w:rPr>
                <w:rFonts w:eastAsiaTheme="minorEastAsia"/>
                <w:szCs w:val="21"/>
              </w:rPr>
            </w:pPr>
            <w:r>
              <w:rPr>
                <w:rFonts w:eastAsiaTheme="minorEastAsia"/>
                <w:szCs w:val="21"/>
              </w:rPr>
              <w:t>显示器：lenovo 19.5显示器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05" w:type="pct"/>
            <w:vMerge w:val="continue"/>
            <w:tcBorders>
              <w:left w:val="single" w:color="auto" w:sz="4" w:space="0"/>
              <w:right w:val="single" w:color="auto" w:sz="4" w:space="0"/>
            </w:tcBorders>
            <w:shd w:val="clear" w:color="auto" w:fill="auto"/>
            <w:vAlign w:val="center"/>
          </w:tcPr>
          <w:p>
            <w:pPr>
              <w:spacing w:line="320" w:lineRule="exact"/>
              <w:jc w:val="center"/>
              <w:rPr>
                <w:rFonts w:eastAsiaTheme="minorEastAsia"/>
                <w:szCs w:val="21"/>
              </w:rPr>
            </w:pPr>
          </w:p>
        </w:tc>
        <w:tc>
          <w:tcPr>
            <w:tcW w:w="488" w:type="pct"/>
            <w:vMerge w:val="continue"/>
            <w:tcBorders>
              <w:left w:val="single" w:color="auto" w:sz="4" w:space="0"/>
              <w:right w:val="single" w:color="auto" w:sz="4" w:space="0"/>
            </w:tcBorders>
            <w:shd w:val="clear" w:color="auto" w:fill="auto"/>
            <w:vAlign w:val="center"/>
          </w:tcPr>
          <w:p>
            <w:pPr>
              <w:spacing w:line="320" w:lineRule="exact"/>
              <w:jc w:val="center"/>
              <w:rPr>
                <w:rFonts w:eastAsiaTheme="minorEastAsia"/>
                <w:szCs w:val="21"/>
              </w:rPr>
            </w:pPr>
          </w:p>
        </w:tc>
        <w:tc>
          <w:tcPr>
            <w:tcW w:w="4107" w:type="pct"/>
            <w:tcBorders>
              <w:top w:val="single" w:color="auto" w:sz="8" w:space="0"/>
              <w:left w:val="single" w:color="auto" w:sz="8" w:space="0"/>
              <w:bottom w:val="single" w:color="auto" w:sz="8" w:space="0"/>
              <w:right w:val="single" w:color="auto" w:sz="8" w:space="0"/>
            </w:tcBorders>
            <w:shd w:val="clear" w:color="auto" w:fill="FFFFFF"/>
            <w:vAlign w:val="center"/>
          </w:tcPr>
          <w:p>
            <w:pPr>
              <w:spacing w:line="320" w:lineRule="exact"/>
              <w:jc w:val="left"/>
              <w:rPr>
                <w:rFonts w:eastAsiaTheme="minorEastAsia"/>
                <w:szCs w:val="21"/>
              </w:rPr>
            </w:pPr>
            <w:r>
              <w:rPr>
                <w:rFonts w:eastAsiaTheme="minorEastAsia"/>
                <w:szCs w:val="21"/>
              </w:rPr>
              <w:t>键鼠:有限键鼠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05" w:type="pct"/>
            <w:vMerge w:val="continue"/>
            <w:tcBorders>
              <w:left w:val="single" w:color="auto" w:sz="4" w:space="0"/>
              <w:right w:val="single" w:color="auto" w:sz="4" w:space="0"/>
            </w:tcBorders>
            <w:shd w:val="clear" w:color="auto" w:fill="auto"/>
            <w:vAlign w:val="center"/>
          </w:tcPr>
          <w:p>
            <w:pPr>
              <w:spacing w:line="320" w:lineRule="exact"/>
              <w:jc w:val="center"/>
              <w:rPr>
                <w:rFonts w:eastAsiaTheme="minorEastAsia"/>
                <w:szCs w:val="21"/>
              </w:rPr>
            </w:pPr>
          </w:p>
        </w:tc>
        <w:tc>
          <w:tcPr>
            <w:tcW w:w="488" w:type="pct"/>
            <w:vMerge w:val="continue"/>
            <w:tcBorders>
              <w:left w:val="single" w:color="auto" w:sz="4" w:space="0"/>
              <w:right w:val="single" w:color="auto" w:sz="4" w:space="0"/>
            </w:tcBorders>
            <w:shd w:val="clear" w:color="auto" w:fill="auto"/>
            <w:vAlign w:val="center"/>
          </w:tcPr>
          <w:p>
            <w:pPr>
              <w:spacing w:line="320" w:lineRule="exact"/>
              <w:jc w:val="center"/>
              <w:rPr>
                <w:rFonts w:eastAsiaTheme="minorEastAsia"/>
                <w:szCs w:val="21"/>
              </w:rPr>
            </w:pPr>
          </w:p>
        </w:tc>
        <w:tc>
          <w:tcPr>
            <w:tcW w:w="4107" w:type="pct"/>
            <w:tcBorders>
              <w:top w:val="single" w:color="auto" w:sz="8" w:space="0"/>
              <w:left w:val="single" w:color="auto" w:sz="8" w:space="0"/>
              <w:bottom w:val="single" w:color="auto" w:sz="8" w:space="0"/>
              <w:right w:val="single" w:color="auto" w:sz="8" w:space="0"/>
            </w:tcBorders>
            <w:shd w:val="clear" w:color="auto" w:fill="FFFFFF"/>
            <w:vAlign w:val="center"/>
          </w:tcPr>
          <w:p>
            <w:pPr>
              <w:spacing w:line="320" w:lineRule="exact"/>
              <w:jc w:val="left"/>
              <w:rPr>
                <w:rFonts w:eastAsiaTheme="minorEastAsia"/>
                <w:szCs w:val="21"/>
              </w:rPr>
            </w:pPr>
            <w:r>
              <w:rPr>
                <w:rFonts w:eastAsiaTheme="minorEastAsia"/>
                <w:szCs w:val="21"/>
              </w:rPr>
              <w:t>网卡：1000Mbps以太网卡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05" w:type="pct"/>
            <w:vMerge w:val="continue"/>
            <w:tcBorders>
              <w:left w:val="single" w:color="auto" w:sz="4" w:space="0"/>
              <w:right w:val="single" w:color="auto" w:sz="4" w:space="0"/>
            </w:tcBorders>
            <w:shd w:val="clear" w:color="auto" w:fill="auto"/>
            <w:vAlign w:val="center"/>
          </w:tcPr>
          <w:p>
            <w:pPr>
              <w:spacing w:line="320" w:lineRule="exact"/>
              <w:jc w:val="center"/>
              <w:rPr>
                <w:rFonts w:eastAsiaTheme="minorEastAsia"/>
                <w:szCs w:val="21"/>
              </w:rPr>
            </w:pPr>
          </w:p>
        </w:tc>
        <w:tc>
          <w:tcPr>
            <w:tcW w:w="488" w:type="pct"/>
            <w:vMerge w:val="continue"/>
            <w:tcBorders>
              <w:left w:val="single" w:color="auto" w:sz="4" w:space="0"/>
              <w:right w:val="single" w:color="auto" w:sz="4" w:space="0"/>
            </w:tcBorders>
            <w:shd w:val="clear" w:color="auto" w:fill="auto"/>
            <w:vAlign w:val="center"/>
          </w:tcPr>
          <w:p>
            <w:pPr>
              <w:spacing w:line="320" w:lineRule="exact"/>
              <w:jc w:val="center"/>
              <w:rPr>
                <w:rFonts w:eastAsiaTheme="minorEastAsia"/>
                <w:szCs w:val="21"/>
              </w:rPr>
            </w:pPr>
          </w:p>
        </w:tc>
        <w:tc>
          <w:tcPr>
            <w:tcW w:w="4107" w:type="pct"/>
            <w:tcBorders>
              <w:top w:val="single" w:color="auto" w:sz="8" w:space="0"/>
              <w:left w:val="single" w:color="auto" w:sz="8" w:space="0"/>
              <w:bottom w:val="single" w:color="auto" w:sz="8" w:space="0"/>
              <w:right w:val="single" w:color="auto" w:sz="8" w:space="0"/>
            </w:tcBorders>
            <w:shd w:val="clear" w:color="auto" w:fill="FFFFFF"/>
            <w:vAlign w:val="center"/>
          </w:tcPr>
          <w:p>
            <w:pPr>
              <w:spacing w:line="320" w:lineRule="exact"/>
              <w:jc w:val="left"/>
              <w:rPr>
                <w:rFonts w:eastAsiaTheme="minorEastAsia"/>
                <w:szCs w:val="21"/>
              </w:rPr>
            </w:pPr>
            <w:r>
              <w:rPr>
                <w:rFonts w:eastAsiaTheme="minorEastAsia"/>
                <w:szCs w:val="21"/>
              </w:rPr>
              <w:t>产品尺寸：293*145*393mm(主机）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05" w:type="pct"/>
            <w:vMerge w:val="continue"/>
            <w:tcBorders>
              <w:left w:val="single" w:color="auto" w:sz="4" w:space="0"/>
              <w:right w:val="single" w:color="auto" w:sz="4" w:space="0"/>
            </w:tcBorders>
            <w:shd w:val="clear" w:color="auto" w:fill="auto"/>
            <w:vAlign w:val="center"/>
          </w:tcPr>
          <w:p>
            <w:pPr>
              <w:spacing w:line="320" w:lineRule="exact"/>
              <w:jc w:val="center"/>
              <w:rPr>
                <w:rFonts w:eastAsiaTheme="minorEastAsia"/>
                <w:szCs w:val="21"/>
              </w:rPr>
            </w:pPr>
          </w:p>
        </w:tc>
        <w:tc>
          <w:tcPr>
            <w:tcW w:w="488" w:type="pct"/>
            <w:vMerge w:val="continue"/>
            <w:tcBorders>
              <w:left w:val="single" w:color="auto" w:sz="4" w:space="0"/>
              <w:right w:val="single" w:color="auto" w:sz="4" w:space="0"/>
            </w:tcBorders>
            <w:shd w:val="clear" w:color="auto" w:fill="auto"/>
            <w:vAlign w:val="center"/>
          </w:tcPr>
          <w:p>
            <w:pPr>
              <w:spacing w:line="320" w:lineRule="exact"/>
              <w:jc w:val="center"/>
              <w:rPr>
                <w:rFonts w:eastAsiaTheme="minorEastAsia"/>
                <w:szCs w:val="21"/>
              </w:rPr>
            </w:pPr>
          </w:p>
        </w:tc>
        <w:tc>
          <w:tcPr>
            <w:tcW w:w="4107" w:type="pct"/>
            <w:tcBorders>
              <w:top w:val="single" w:color="auto" w:sz="8" w:space="0"/>
              <w:left w:val="single" w:color="auto" w:sz="8" w:space="0"/>
              <w:bottom w:val="single" w:color="auto" w:sz="8" w:space="0"/>
              <w:right w:val="single" w:color="auto" w:sz="8" w:space="0"/>
            </w:tcBorders>
            <w:shd w:val="clear" w:color="auto" w:fill="FFFFFF"/>
            <w:vAlign w:val="center"/>
          </w:tcPr>
          <w:p>
            <w:pPr>
              <w:spacing w:line="320" w:lineRule="exact"/>
              <w:jc w:val="left"/>
              <w:rPr>
                <w:rFonts w:eastAsiaTheme="minorEastAsia"/>
                <w:szCs w:val="21"/>
              </w:rPr>
            </w:pPr>
            <w:r>
              <w:rPr>
                <w:rFonts w:eastAsiaTheme="minorEastAsia"/>
                <w:szCs w:val="21"/>
              </w:rPr>
              <w:t>产品净重：约5.85KG(主机）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05" w:type="pct"/>
            <w:vMerge w:val="continue"/>
            <w:tcBorders>
              <w:left w:val="single" w:color="auto" w:sz="4" w:space="0"/>
              <w:right w:val="single" w:color="auto" w:sz="4" w:space="0"/>
            </w:tcBorders>
            <w:shd w:val="clear" w:color="auto" w:fill="auto"/>
            <w:vAlign w:val="center"/>
          </w:tcPr>
          <w:p>
            <w:pPr>
              <w:spacing w:line="320" w:lineRule="exact"/>
              <w:jc w:val="center"/>
              <w:rPr>
                <w:rFonts w:eastAsiaTheme="minorEastAsia"/>
                <w:szCs w:val="21"/>
              </w:rPr>
            </w:pPr>
          </w:p>
        </w:tc>
        <w:tc>
          <w:tcPr>
            <w:tcW w:w="488" w:type="pct"/>
            <w:vMerge w:val="continue"/>
            <w:tcBorders>
              <w:left w:val="single" w:color="auto" w:sz="4" w:space="0"/>
              <w:right w:val="single" w:color="auto" w:sz="4" w:space="0"/>
            </w:tcBorders>
            <w:shd w:val="clear" w:color="auto" w:fill="auto"/>
            <w:vAlign w:val="center"/>
          </w:tcPr>
          <w:p>
            <w:pPr>
              <w:spacing w:line="320" w:lineRule="exact"/>
              <w:jc w:val="center"/>
              <w:rPr>
                <w:rFonts w:eastAsiaTheme="minorEastAsia"/>
                <w:szCs w:val="21"/>
              </w:rPr>
            </w:pPr>
          </w:p>
        </w:tc>
        <w:tc>
          <w:tcPr>
            <w:tcW w:w="4107" w:type="pct"/>
            <w:tcBorders>
              <w:top w:val="single" w:color="auto" w:sz="8" w:space="0"/>
              <w:left w:val="single" w:color="auto" w:sz="8" w:space="0"/>
              <w:bottom w:val="single" w:color="auto" w:sz="8" w:space="0"/>
              <w:right w:val="single" w:color="auto" w:sz="8" w:space="0"/>
            </w:tcBorders>
            <w:shd w:val="clear" w:color="auto" w:fill="FFFFFF"/>
            <w:vAlign w:val="center"/>
          </w:tcPr>
          <w:p>
            <w:pPr>
              <w:spacing w:line="320" w:lineRule="exact"/>
              <w:jc w:val="left"/>
              <w:rPr>
                <w:rFonts w:eastAsiaTheme="minorEastAsia"/>
                <w:szCs w:val="21"/>
              </w:rPr>
            </w:pPr>
            <w:r>
              <w:rPr>
                <w:rFonts w:eastAsiaTheme="minorEastAsia"/>
                <w:szCs w:val="21"/>
              </w:rPr>
              <w:t>系统：Windows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05" w:type="pct"/>
            <w:vMerge w:val="continue"/>
            <w:tcBorders>
              <w:left w:val="single" w:color="auto" w:sz="4" w:space="0"/>
              <w:right w:val="single" w:color="auto" w:sz="4" w:space="0"/>
            </w:tcBorders>
            <w:shd w:val="clear" w:color="auto" w:fill="auto"/>
            <w:vAlign w:val="center"/>
          </w:tcPr>
          <w:p>
            <w:pPr>
              <w:spacing w:line="320" w:lineRule="exact"/>
              <w:jc w:val="center"/>
              <w:rPr>
                <w:rFonts w:eastAsiaTheme="minorEastAsia"/>
                <w:szCs w:val="21"/>
              </w:rPr>
            </w:pPr>
          </w:p>
        </w:tc>
        <w:tc>
          <w:tcPr>
            <w:tcW w:w="488" w:type="pct"/>
            <w:vMerge w:val="continue"/>
            <w:tcBorders>
              <w:left w:val="single" w:color="auto" w:sz="4" w:space="0"/>
              <w:right w:val="single" w:color="auto" w:sz="4" w:space="0"/>
            </w:tcBorders>
            <w:shd w:val="clear" w:color="auto" w:fill="auto"/>
            <w:vAlign w:val="center"/>
          </w:tcPr>
          <w:p>
            <w:pPr>
              <w:spacing w:line="320" w:lineRule="exact"/>
              <w:jc w:val="center"/>
              <w:rPr>
                <w:rFonts w:eastAsiaTheme="minorEastAsia"/>
                <w:szCs w:val="21"/>
              </w:rPr>
            </w:pPr>
          </w:p>
        </w:tc>
        <w:tc>
          <w:tcPr>
            <w:tcW w:w="4107" w:type="pct"/>
            <w:tcBorders>
              <w:top w:val="single" w:color="auto" w:sz="8" w:space="0"/>
              <w:left w:val="single" w:color="auto" w:sz="8" w:space="0"/>
              <w:bottom w:val="single" w:color="auto" w:sz="8" w:space="0"/>
              <w:right w:val="single" w:color="auto" w:sz="8" w:space="0"/>
            </w:tcBorders>
            <w:shd w:val="clear" w:color="auto" w:fill="FFFFFF"/>
            <w:vAlign w:val="center"/>
          </w:tcPr>
          <w:p>
            <w:pPr>
              <w:spacing w:line="320" w:lineRule="exact"/>
              <w:jc w:val="left"/>
              <w:rPr>
                <w:rFonts w:eastAsiaTheme="minorEastAsia"/>
                <w:szCs w:val="21"/>
              </w:rPr>
            </w:pPr>
            <w:r>
              <w:rPr>
                <w:rFonts w:eastAsiaTheme="minorEastAsia"/>
                <w:szCs w:val="21"/>
              </w:rPr>
              <w:t>USB接口：6个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05" w:type="pct"/>
            <w:vMerge w:val="continue"/>
            <w:tcBorders>
              <w:left w:val="single" w:color="auto" w:sz="4" w:space="0"/>
              <w:right w:val="single" w:color="auto" w:sz="4" w:space="0"/>
            </w:tcBorders>
            <w:shd w:val="clear" w:color="auto" w:fill="auto"/>
            <w:vAlign w:val="center"/>
          </w:tcPr>
          <w:p>
            <w:pPr>
              <w:spacing w:line="320" w:lineRule="exact"/>
              <w:jc w:val="center"/>
              <w:rPr>
                <w:rFonts w:eastAsiaTheme="minorEastAsia"/>
                <w:szCs w:val="21"/>
              </w:rPr>
            </w:pPr>
          </w:p>
        </w:tc>
        <w:tc>
          <w:tcPr>
            <w:tcW w:w="488" w:type="pct"/>
            <w:vMerge w:val="continue"/>
            <w:tcBorders>
              <w:left w:val="single" w:color="auto" w:sz="4" w:space="0"/>
              <w:right w:val="single" w:color="auto" w:sz="4" w:space="0"/>
            </w:tcBorders>
            <w:shd w:val="clear" w:color="auto" w:fill="auto"/>
            <w:vAlign w:val="center"/>
          </w:tcPr>
          <w:p>
            <w:pPr>
              <w:spacing w:line="320" w:lineRule="exact"/>
              <w:jc w:val="center"/>
              <w:rPr>
                <w:rFonts w:eastAsiaTheme="minorEastAsia"/>
                <w:szCs w:val="21"/>
              </w:rPr>
            </w:pPr>
          </w:p>
        </w:tc>
        <w:tc>
          <w:tcPr>
            <w:tcW w:w="4107" w:type="pct"/>
            <w:tcBorders>
              <w:top w:val="single" w:color="auto" w:sz="8" w:space="0"/>
              <w:left w:val="single" w:color="auto" w:sz="8" w:space="0"/>
              <w:bottom w:val="single" w:color="auto" w:sz="8" w:space="0"/>
              <w:right w:val="single" w:color="auto" w:sz="8" w:space="0"/>
            </w:tcBorders>
            <w:shd w:val="clear" w:color="auto" w:fill="FFFFFF"/>
            <w:vAlign w:val="center"/>
          </w:tcPr>
          <w:p>
            <w:pPr>
              <w:spacing w:line="320" w:lineRule="exact"/>
              <w:jc w:val="left"/>
              <w:rPr>
                <w:rFonts w:eastAsiaTheme="minorEastAsia"/>
                <w:szCs w:val="21"/>
              </w:rPr>
            </w:pPr>
            <w:r>
              <w:rPr>
                <w:rFonts w:eastAsiaTheme="minorEastAsia"/>
                <w:szCs w:val="21"/>
              </w:rPr>
              <w:t>视频接口：VGA/HDMI接口各1个</w:t>
            </w:r>
          </w:p>
        </w:tc>
      </w:tr>
    </w:tbl>
    <w:p>
      <w:pPr>
        <w:pStyle w:val="9"/>
        <w:ind w:left="1470" w:right="1470"/>
        <w:rPr>
          <w:rFonts w:asciiTheme="minorEastAsia" w:hAnsiTheme="minorEastAsia" w:eastAsiaTheme="minorEastAsia"/>
        </w:rPr>
      </w:pPr>
    </w:p>
    <w:p>
      <w:pPr>
        <w:ind w:firstLine="120" w:firstLineChars="50"/>
        <w:outlineLvl w:val="2"/>
        <w:rPr>
          <w:rFonts w:asciiTheme="minorEastAsia" w:hAnsiTheme="minorEastAsia" w:eastAsiaTheme="minorEastAsia"/>
          <w:b/>
          <w:bCs/>
          <w:sz w:val="24"/>
        </w:rPr>
      </w:pPr>
      <w:r>
        <w:rPr>
          <w:rFonts w:hint="eastAsia" w:cs="宋体" w:asciiTheme="minorEastAsia" w:hAnsiTheme="minorEastAsia" w:eastAsiaTheme="minorEastAsia"/>
          <w:b/>
          <w:bCs/>
          <w:sz w:val="24"/>
        </w:rPr>
        <w:t>（十四）钢制多媒体教学讲台</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000" w:type="pct"/>
            <w:vAlign w:val="center"/>
          </w:tcPr>
          <w:p>
            <w:pPr>
              <w:jc w:val="center"/>
              <w:rPr>
                <w:rFonts w:eastAsiaTheme="minorEastAsia"/>
                <w:szCs w:val="21"/>
              </w:rPr>
            </w:pPr>
            <w:r>
              <w:rPr>
                <w:rFonts w:eastAsiaTheme="minorEastAsia"/>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000" w:type="pct"/>
            <w:vAlign w:val="center"/>
          </w:tcPr>
          <w:p>
            <w:pPr>
              <w:jc w:val="left"/>
              <w:rPr>
                <w:rFonts w:eastAsiaTheme="minorEastAsia"/>
                <w:szCs w:val="21"/>
              </w:rPr>
            </w:pPr>
            <w:r>
              <w:rPr>
                <w:rFonts w:eastAsiaTheme="minorEastAsia"/>
                <w:szCs w:val="21"/>
              </w:rPr>
              <w:t>1.外形尺寸：≥1100×780×1000；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000" w:type="pct"/>
            <w:vAlign w:val="center"/>
          </w:tcPr>
          <w:p>
            <w:pPr>
              <w:jc w:val="left"/>
              <w:rPr>
                <w:rFonts w:eastAsiaTheme="minorEastAsia"/>
                <w:szCs w:val="21"/>
              </w:rPr>
            </w:pPr>
            <w:r>
              <w:rPr>
                <w:rFonts w:eastAsiaTheme="minorEastAsia"/>
                <w:szCs w:val="21"/>
              </w:rPr>
              <w:t>2.要求材质为优质冷轧钢板 桌面耐划台面，实木橡木扶手；全封闭式结构，保障多媒体设备的安全性；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000" w:type="pct"/>
            <w:vAlign w:val="center"/>
          </w:tcPr>
          <w:p>
            <w:pPr>
              <w:jc w:val="left"/>
              <w:rPr>
                <w:rFonts w:eastAsiaTheme="minorEastAsia"/>
                <w:szCs w:val="21"/>
              </w:rPr>
            </w:pPr>
            <w:r>
              <w:rPr>
                <w:rFonts w:eastAsiaTheme="minorEastAsia"/>
                <w:szCs w:val="21"/>
              </w:rPr>
              <w:t>3.材料厚度：1.2-1.5mm；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000" w:type="pct"/>
            <w:vAlign w:val="center"/>
          </w:tcPr>
          <w:p>
            <w:pPr>
              <w:jc w:val="left"/>
              <w:rPr>
                <w:rFonts w:eastAsiaTheme="minorEastAsia"/>
                <w:szCs w:val="21"/>
              </w:rPr>
            </w:pPr>
            <w:r>
              <w:rPr>
                <w:rFonts w:eastAsiaTheme="minorEastAsia"/>
                <w:szCs w:val="21"/>
              </w:rPr>
              <w:t>4.盖门采取翻转方式，人性化设计，解决以往盖门沉重，打开困难的问题；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000" w:type="pct"/>
            <w:vAlign w:val="center"/>
          </w:tcPr>
          <w:p>
            <w:pPr>
              <w:jc w:val="left"/>
              <w:rPr>
                <w:rFonts w:eastAsiaTheme="minorEastAsia"/>
                <w:szCs w:val="21"/>
              </w:rPr>
            </w:pPr>
            <w:r>
              <w:rPr>
                <w:rFonts w:eastAsiaTheme="minorEastAsia"/>
                <w:szCs w:val="21"/>
              </w:rPr>
              <w:t>5.整个讲台只使用1副滑轨，安全可靠；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000" w:type="pct"/>
            <w:vAlign w:val="center"/>
          </w:tcPr>
          <w:p>
            <w:pPr>
              <w:jc w:val="left"/>
              <w:rPr>
                <w:rFonts w:eastAsiaTheme="minorEastAsia"/>
                <w:szCs w:val="21"/>
              </w:rPr>
            </w:pPr>
            <w:r>
              <w:rPr>
                <w:rFonts w:eastAsiaTheme="minorEastAsia"/>
                <w:szCs w:val="21"/>
              </w:rPr>
              <w:t>6.液晶显示器采用反转设计，显示器角度随意调节，可使视线和显示器接近垂直，可安装17-22寸显示器，关闭后所有设备都隐藏在讲台内；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000" w:type="pct"/>
            <w:vAlign w:val="center"/>
          </w:tcPr>
          <w:p>
            <w:pPr>
              <w:jc w:val="left"/>
              <w:rPr>
                <w:rFonts w:eastAsiaTheme="minorEastAsia"/>
                <w:szCs w:val="21"/>
              </w:rPr>
            </w:pPr>
            <w:r>
              <w:rPr>
                <w:rFonts w:eastAsiaTheme="minorEastAsia"/>
                <w:szCs w:val="21"/>
              </w:rPr>
              <w:t>7.整体采用分体式结构，上下两部分采用分体组装。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000" w:type="pct"/>
            <w:vAlign w:val="center"/>
          </w:tcPr>
          <w:p>
            <w:pPr>
              <w:jc w:val="left"/>
              <w:rPr>
                <w:rFonts w:eastAsiaTheme="minorEastAsia"/>
                <w:szCs w:val="21"/>
              </w:rPr>
            </w:pPr>
            <w:r>
              <w:rPr>
                <w:rFonts w:eastAsiaTheme="minorEastAsia"/>
                <w:szCs w:val="21"/>
              </w:rPr>
              <w:t>8.▲配套微课数字笔：数字笔使用普通的笔芯在任意纸张上进行传统的书写，原笔迹记录；支持同步书写笔迹和录音，笔迹与录音同步录制；所书写内容可实时显示到电脑上或手机移动端上；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vAlign w:val="center"/>
          </w:tcPr>
          <w:p>
            <w:pPr>
              <w:jc w:val="left"/>
              <w:rPr>
                <w:rFonts w:eastAsiaTheme="minorEastAsia"/>
                <w:szCs w:val="21"/>
              </w:rPr>
            </w:pPr>
            <w:r>
              <w:rPr>
                <w:rFonts w:eastAsiaTheme="minorEastAsia"/>
                <w:szCs w:val="21"/>
              </w:rPr>
              <w:t>9.连接：无线连接，蓝牙4.0传输协议；传输速度：80次/秒；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000" w:type="pct"/>
            <w:vAlign w:val="center"/>
          </w:tcPr>
          <w:p>
            <w:pPr>
              <w:jc w:val="left"/>
              <w:rPr>
                <w:rFonts w:eastAsiaTheme="minorEastAsia"/>
                <w:szCs w:val="21"/>
              </w:rPr>
            </w:pPr>
            <w:r>
              <w:rPr>
                <w:rFonts w:eastAsiaTheme="minorEastAsia"/>
                <w:szCs w:val="21"/>
              </w:rPr>
              <w:t>10.书写介质：普通A4纸，笔记本、画图纸板、便条纸等；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000" w:type="pct"/>
            <w:vAlign w:val="center"/>
          </w:tcPr>
          <w:p>
            <w:pPr>
              <w:jc w:val="left"/>
              <w:rPr>
                <w:rFonts w:eastAsiaTheme="minorEastAsia"/>
                <w:szCs w:val="21"/>
              </w:rPr>
            </w:pPr>
            <w:r>
              <w:rPr>
                <w:rFonts w:eastAsiaTheme="minorEastAsia"/>
                <w:szCs w:val="21"/>
              </w:rPr>
              <w:t>11.磁性定位：接收器内设磁性吸附条可固定普通A4纸；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000" w:type="pct"/>
            <w:vAlign w:val="center"/>
          </w:tcPr>
          <w:p>
            <w:pPr>
              <w:jc w:val="left"/>
              <w:rPr>
                <w:rFonts w:eastAsiaTheme="minorEastAsia"/>
                <w:szCs w:val="21"/>
              </w:rPr>
            </w:pPr>
            <w:r>
              <w:rPr>
                <w:rFonts w:eastAsiaTheme="minorEastAsia"/>
                <w:szCs w:val="21"/>
              </w:rPr>
              <w:t>12.支持系统：系统同时支持移动端（含安卓系统和苹果系统）录制方式录制系统：支持windows XP SP3、windows vista、windows7、ios和android 4.2及以上系统；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000" w:type="pct"/>
            <w:vAlign w:val="center"/>
          </w:tcPr>
          <w:p>
            <w:pPr>
              <w:jc w:val="left"/>
              <w:rPr>
                <w:rFonts w:eastAsiaTheme="minorEastAsia"/>
                <w:szCs w:val="21"/>
              </w:rPr>
            </w:pPr>
            <w:r>
              <w:rPr>
                <w:rFonts w:eastAsiaTheme="minorEastAsia"/>
                <w:szCs w:val="21"/>
              </w:rPr>
              <w:t>13.录制背景图：包含单色背景，也可在本地图库中选择图片作为背景图；同时支持拍照作为背景，其图片可拖动、旋转、锁定、删除，设为背景；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000" w:type="pct"/>
            <w:vAlign w:val="center"/>
          </w:tcPr>
          <w:p>
            <w:pPr>
              <w:jc w:val="left"/>
              <w:rPr>
                <w:rFonts w:eastAsiaTheme="minorEastAsia"/>
                <w:szCs w:val="21"/>
              </w:rPr>
            </w:pPr>
            <w:r>
              <w:rPr>
                <w:rFonts w:eastAsiaTheme="minorEastAsia"/>
                <w:szCs w:val="21"/>
              </w:rPr>
              <w:t>14.多页功能：录制过程中可添加新的页面，也可返回到原来录制的页面；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000" w:type="pct"/>
            <w:vAlign w:val="center"/>
          </w:tcPr>
          <w:p>
            <w:pPr>
              <w:jc w:val="left"/>
              <w:rPr>
                <w:rFonts w:eastAsiaTheme="minorEastAsia"/>
                <w:szCs w:val="21"/>
              </w:rPr>
            </w:pPr>
            <w:r>
              <w:rPr>
                <w:rFonts w:eastAsiaTheme="minorEastAsia"/>
                <w:szCs w:val="21"/>
              </w:rPr>
              <w:t>15.具有擦除功能，能擦除微课笔和触屏书写的轨迹；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000" w:type="pct"/>
            <w:vAlign w:val="center"/>
          </w:tcPr>
          <w:p>
            <w:pPr>
              <w:jc w:val="left"/>
              <w:rPr>
                <w:rFonts w:eastAsiaTheme="minorEastAsia"/>
                <w:szCs w:val="21"/>
              </w:rPr>
            </w:pPr>
            <w:r>
              <w:rPr>
                <w:rFonts w:eastAsiaTheme="minorEastAsia"/>
                <w:szCs w:val="21"/>
              </w:rPr>
              <w:t>16.移动端软件支持在线更新；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000" w:type="pct"/>
            <w:vAlign w:val="center"/>
          </w:tcPr>
          <w:p>
            <w:pPr>
              <w:jc w:val="left"/>
              <w:rPr>
                <w:rFonts w:eastAsiaTheme="minorEastAsia"/>
                <w:szCs w:val="21"/>
              </w:rPr>
            </w:pPr>
            <w:r>
              <w:rPr>
                <w:rFonts w:eastAsiaTheme="minorEastAsia"/>
                <w:szCs w:val="21"/>
              </w:rPr>
              <w:t>17.提供微课资源管理软件的软件著作权证书复印件。</w:t>
            </w:r>
          </w:p>
        </w:tc>
      </w:tr>
    </w:tbl>
    <w:p>
      <w:pPr>
        <w:pStyle w:val="7"/>
        <w:ind w:left="2250" w:hanging="1200"/>
        <w:rPr>
          <w:rFonts w:asciiTheme="minorEastAsia" w:hAnsiTheme="minorEastAsia" w:eastAsiaTheme="minorEastAsia"/>
        </w:rPr>
      </w:pPr>
    </w:p>
    <w:p>
      <w:pPr>
        <w:ind w:firstLine="120" w:firstLineChars="50"/>
        <w:outlineLvl w:val="2"/>
        <w:rPr>
          <w:rFonts w:asciiTheme="minorEastAsia" w:hAnsiTheme="minorEastAsia" w:eastAsiaTheme="minorEastAsia"/>
          <w:b/>
          <w:bCs/>
          <w:sz w:val="24"/>
        </w:rPr>
      </w:pPr>
      <w:r>
        <w:rPr>
          <w:rFonts w:hint="eastAsia" w:cs="宋体" w:asciiTheme="minorEastAsia" w:hAnsiTheme="minorEastAsia" w:eastAsiaTheme="minorEastAsia"/>
          <w:b/>
          <w:bCs/>
          <w:sz w:val="24"/>
        </w:rPr>
        <w:t>（十五）教师椅</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837"/>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b/>
                <w:bCs/>
                <w:szCs w:val="21"/>
              </w:rPr>
            </w:pPr>
            <w:r>
              <w:rPr>
                <w:rFonts w:eastAsiaTheme="minorEastAsia"/>
                <w:b/>
                <w:bCs/>
                <w:szCs w:val="21"/>
              </w:rPr>
              <w:t>序号</w:t>
            </w:r>
          </w:p>
        </w:tc>
        <w:tc>
          <w:tcPr>
            <w:tcW w:w="491"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b/>
                <w:bCs/>
                <w:szCs w:val="21"/>
              </w:rPr>
            </w:pPr>
            <w:r>
              <w:rPr>
                <w:rFonts w:eastAsiaTheme="minorEastAsia"/>
                <w:b/>
                <w:bCs/>
                <w:szCs w:val="21"/>
              </w:rPr>
              <w:t>名称</w:t>
            </w:r>
          </w:p>
        </w:tc>
        <w:tc>
          <w:tcPr>
            <w:tcW w:w="4097"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b/>
                <w:bCs/>
                <w:szCs w:val="21"/>
              </w:rPr>
            </w:pPr>
            <w:r>
              <w:rPr>
                <w:rFonts w:eastAsiaTheme="minorEastAsia"/>
                <w:b/>
                <w:bCs/>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12" w:type="pct"/>
            <w:vMerge w:val="restart"/>
            <w:tcBorders>
              <w:top w:val="single" w:color="auto" w:sz="4" w:space="0"/>
              <w:left w:val="single" w:color="auto" w:sz="4" w:space="0"/>
              <w:right w:val="single" w:color="auto" w:sz="4" w:space="0"/>
            </w:tcBorders>
            <w:vAlign w:val="center"/>
          </w:tcPr>
          <w:p>
            <w:pPr>
              <w:jc w:val="center"/>
              <w:rPr>
                <w:rFonts w:eastAsiaTheme="minorEastAsia"/>
                <w:szCs w:val="21"/>
              </w:rPr>
            </w:pPr>
            <w:r>
              <w:rPr>
                <w:rFonts w:eastAsiaTheme="minorEastAsia"/>
                <w:szCs w:val="21"/>
              </w:rPr>
              <w:t>1</w:t>
            </w:r>
          </w:p>
        </w:tc>
        <w:tc>
          <w:tcPr>
            <w:tcW w:w="491" w:type="pct"/>
            <w:vMerge w:val="restart"/>
            <w:tcBorders>
              <w:top w:val="single" w:color="auto" w:sz="4" w:space="0"/>
              <w:left w:val="single" w:color="auto" w:sz="4" w:space="0"/>
              <w:right w:val="single" w:color="auto" w:sz="4" w:space="0"/>
            </w:tcBorders>
            <w:vAlign w:val="center"/>
          </w:tcPr>
          <w:p>
            <w:pPr>
              <w:jc w:val="center"/>
              <w:rPr>
                <w:rFonts w:eastAsiaTheme="minorEastAsia"/>
                <w:szCs w:val="21"/>
              </w:rPr>
            </w:pPr>
            <w:r>
              <w:rPr>
                <w:rFonts w:eastAsiaTheme="minorEastAsia"/>
                <w:szCs w:val="21"/>
              </w:rPr>
              <w:t>教师椅</w:t>
            </w:r>
          </w:p>
        </w:tc>
        <w:tc>
          <w:tcPr>
            <w:tcW w:w="4097" w:type="pct"/>
            <w:tcBorders>
              <w:top w:val="single" w:color="auto" w:sz="4" w:space="0"/>
              <w:left w:val="single" w:color="auto" w:sz="4" w:space="0"/>
              <w:bottom w:val="single" w:color="auto" w:sz="4" w:space="0"/>
              <w:right w:val="single" w:color="auto" w:sz="4" w:space="0"/>
            </w:tcBorders>
            <w:vAlign w:val="center"/>
          </w:tcPr>
          <w:p>
            <w:pPr>
              <w:jc w:val="left"/>
              <w:rPr>
                <w:rFonts w:eastAsiaTheme="minorEastAsia"/>
                <w:szCs w:val="21"/>
              </w:rPr>
            </w:pPr>
            <w:r>
              <w:rPr>
                <w:rFonts w:eastAsiaTheme="minorEastAsia"/>
                <w:szCs w:val="21"/>
              </w:rPr>
              <w:t>1.款式：白框黑网；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12" w:type="pct"/>
            <w:vMerge w:val="continue"/>
            <w:tcBorders>
              <w:left w:val="single" w:color="auto" w:sz="4" w:space="0"/>
              <w:right w:val="single" w:color="auto" w:sz="4" w:space="0"/>
            </w:tcBorders>
            <w:vAlign w:val="center"/>
          </w:tcPr>
          <w:p>
            <w:pPr>
              <w:jc w:val="center"/>
              <w:rPr>
                <w:rFonts w:eastAsiaTheme="minorEastAsia"/>
                <w:szCs w:val="21"/>
              </w:rPr>
            </w:pPr>
          </w:p>
        </w:tc>
        <w:tc>
          <w:tcPr>
            <w:tcW w:w="491" w:type="pct"/>
            <w:vMerge w:val="continue"/>
            <w:tcBorders>
              <w:left w:val="single" w:color="auto" w:sz="4" w:space="0"/>
              <w:right w:val="single" w:color="auto" w:sz="4" w:space="0"/>
            </w:tcBorders>
            <w:vAlign w:val="center"/>
          </w:tcPr>
          <w:p>
            <w:pPr>
              <w:jc w:val="center"/>
              <w:rPr>
                <w:rFonts w:eastAsiaTheme="minorEastAsia"/>
                <w:szCs w:val="21"/>
              </w:rPr>
            </w:pPr>
          </w:p>
        </w:tc>
        <w:tc>
          <w:tcPr>
            <w:tcW w:w="4097" w:type="pct"/>
            <w:tcBorders>
              <w:top w:val="single" w:color="auto" w:sz="4" w:space="0"/>
              <w:left w:val="single" w:color="auto" w:sz="4" w:space="0"/>
              <w:bottom w:val="single" w:color="auto" w:sz="4" w:space="0"/>
              <w:right w:val="single" w:color="auto" w:sz="4" w:space="0"/>
            </w:tcBorders>
            <w:vAlign w:val="center"/>
          </w:tcPr>
          <w:p>
            <w:pPr>
              <w:jc w:val="left"/>
              <w:rPr>
                <w:rFonts w:eastAsiaTheme="minorEastAsia"/>
                <w:szCs w:val="21"/>
              </w:rPr>
            </w:pPr>
            <w:r>
              <w:rPr>
                <w:rFonts w:eastAsiaTheme="minorEastAsia"/>
                <w:szCs w:val="21"/>
              </w:rPr>
              <w:t>2.配3D可调扶手，前后可划动6cm,可90度翻转；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12" w:type="pct"/>
            <w:vMerge w:val="continue"/>
            <w:tcBorders>
              <w:left w:val="single" w:color="auto" w:sz="4" w:space="0"/>
              <w:right w:val="single" w:color="auto" w:sz="4" w:space="0"/>
            </w:tcBorders>
            <w:vAlign w:val="center"/>
          </w:tcPr>
          <w:p>
            <w:pPr>
              <w:jc w:val="center"/>
              <w:rPr>
                <w:rFonts w:eastAsiaTheme="minorEastAsia"/>
                <w:szCs w:val="21"/>
              </w:rPr>
            </w:pPr>
          </w:p>
        </w:tc>
        <w:tc>
          <w:tcPr>
            <w:tcW w:w="491" w:type="pct"/>
            <w:vMerge w:val="continue"/>
            <w:tcBorders>
              <w:left w:val="single" w:color="auto" w:sz="4" w:space="0"/>
              <w:right w:val="single" w:color="auto" w:sz="4" w:space="0"/>
            </w:tcBorders>
            <w:vAlign w:val="center"/>
          </w:tcPr>
          <w:p>
            <w:pPr>
              <w:jc w:val="center"/>
              <w:rPr>
                <w:rFonts w:eastAsiaTheme="minorEastAsia"/>
                <w:szCs w:val="21"/>
              </w:rPr>
            </w:pPr>
          </w:p>
        </w:tc>
        <w:tc>
          <w:tcPr>
            <w:tcW w:w="4097" w:type="pct"/>
            <w:tcBorders>
              <w:left w:val="single" w:color="auto" w:sz="4" w:space="0"/>
            </w:tcBorders>
            <w:vAlign w:val="center"/>
          </w:tcPr>
          <w:p>
            <w:pPr>
              <w:jc w:val="left"/>
              <w:rPr>
                <w:rFonts w:eastAsiaTheme="minorEastAsia"/>
                <w:szCs w:val="21"/>
              </w:rPr>
            </w:pPr>
            <w:r>
              <w:rPr>
                <w:rFonts w:eastAsiaTheme="minorEastAsia"/>
                <w:szCs w:val="21"/>
              </w:rPr>
              <w:t>3.可气压升降；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412" w:type="pct"/>
            <w:vMerge w:val="continue"/>
            <w:tcBorders>
              <w:left w:val="single" w:color="auto" w:sz="4" w:space="0"/>
              <w:right w:val="single" w:color="auto" w:sz="4" w:space="0"/>
            </w:tcBorders>
            <w:vAlign w:val="center"/>
          </w:tcPr>
          <w:p>
            <w:pPr>
              <w:jc w:val="center"/>
              <w:rPr>
                <w:rFonts w:eastAsiaTheme="minorEastAsia"/>
                <w:szCs w:val="21"/>
              </w:rPr>
            </w:pPr>
          </w:p>
        </w:tc>
        <w:tc>
          <w:tcPr>
            <w:tcW w:w="491" w:type="pct"/>
            <w:vMerge w:val="continue"/>
            <w:tcBorders>
              <w:left w:val="single" w:color="auto" w:sz="4" w:space="0"/>
              <w:right w:val="single" w:color="auto" w:sz="4" w:space="0"/>
            </w:tcBorders>
            <w:vAlign w:val="center"/>
          </w:tcPr>
          <w:p>
            <w:pPr>
              <w:jc w:val="center"/>
              <w:rPr>
                <w:rFonts w:eastAsiaTheme="minorEastAsia"/>
                <w:szCs w:val="21"/>
              </w:rPr>
            </w:pPr>
          </w:p>
        </w:tc>
        <w:tc>
          <w:tcPr>
            <w:tcW w:w="4097" w:type="pct"/>
            <w:tcBorders>
              <w:left w:val="single" w:color="auto" w:sz="4" w:space="0"/>
            </w:tcBorders>
            <w:vAlign w:val="center"/>
          </w:tcPr>
          <w:p>
            <w:pPr>
              <w:jc w:val="left"/>
              <w:rPr>
                <w:rFonts w:eastAsiaTheme="minorEastAsia"/>
                <w:szCs w:val="21"/>
              </w:rPr>
            </w:pPr>
            <w:r>
              <w:rPr>
                <w:rFonts w:eastAsiaTheme="minorEastAsia"/>
                <w:szCs w:val="21"/>
              </w:rPr>
              <w:t>4.配5轮可移动式结构。</w:t>
            </w:r>
          </w:p>
        </w:tc>
      </w:tr>
    </w:tbl>
    <w:p>
      <w:pPr>
        <w:rPr>
          <w:rFonts w:cs="宋体" w:asciiTheme="minorEastAsia" w:hAnsiTheme="minorEastAsia" w:eastAsiaTheme="minorEastAsia"/>
          <w:sz w:val="28"/>
          <w:szCs w:val="28"/>
        </w:rPr>
      </w:pPr>
    </w:p>
    <w:p>
      <w:pPr>
        <w:ind w:firstLine="120" w:firstLineChars="50"/>
        <w:outlineLvl w:val="2"/>
        <w:rPr>
          <w:rFonts w:asciiTheme="minorEastAsia" w:hAnsiTheme="minorEastAsia" w:eastAsiaTheme="minorEastAsia"/>
          <w:b/>
          <w:bCs/>
          <w:sz w:val="24"/>
        </w:rPr>
      </w:pPr>
      <w:r>
        <w:rPr>
          <w:rFonts w:hint="eastAsia" w:cs="宋体" w:asciiTheme="minorEastAsia" w:hAnsiTheme="minorEastAsia" w:eastAsiaTheme="minorEastAsia"/>
          <w:b/>
          <w:bCs/>
          <w:sz w:val="24"/>
        </w:rPr>
        <w:t>（十六）交互式智能平板</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837"/>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
                <w:bCs/>
                <w:szCs w:val="21"/>
              </w:rPr>
            </w:pPr>
            <w:r>
              <w:rPr>
                <w:rFonts w:eastAsiaTheme="minorEastAsia"/>
                <w:b/>
                <w:bCs/>
                <w:szCs w:val="21"/>
              </w:rPr>
              <w:t>序号</w:t>
            </w:r>
          </w:p>
        </w:tc>
        <w:tc>
          <w:tcPr>
            <w:tcW w:w="49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Theme="minorEastAsia"/>
                <w:b/>
                <w:bCs/>
                <w:szCs w:val="21"/>
              </w:rPr>
            </w:pPr>
            <w:r>
              <w:rPr>
                <w:rFonts w:eastAsiaTheme="minorEastAsia"/>
                <w:b/>
                <w:bCs/>
                <w:szCs w:val="21"/>
              </w:rPr>
              <w:t>名称</w:t>
            </w:r>
          </w:p>
        </w:tc>
        <w:tc>
          <w:tcPr>
            <w:tcW w:w="4097" w:type="pct"/>
            <w:tcBorders>
              <w:top w:val="single" w:color="auto" w:sz="4" w:space="0"/>
              <w:left w:val="single" w:color="auto" w:sz="4" w:space="0"/>
              <w:bottom w:val="single" w:color="auto" w:sz="4" w:space="0"/>
              <w:right w:val="single" w:color="auto" w:sz="4" w:space="0"/>
            </w:tcBorders>
            <w:vAlign w:val="center"/>
          </w:tcPr>
          <w:p>
            <w:pPr>
              <w:spacing w:line="320" w:lineRule="exact"/>
              <w:rPr>
                <w:rFonts w:eastAsiaTheme="minorEastAsia"/>
                <w:b/>
                <w:bCs/>
                <w:szCs w:val="21"/>
              </w:rPr>
            </w:pPr>
            <w:r>
              <w:rPr>
                <w:rFonts w:eastAsiaTheme="minorEastAsia"/>
                <w:b/>
                <w:bCs/>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12" w:type="pct"/>
            <w:tcBorders>
              <w:top w:val="single" w:color="auto" w:sz="4" w:space="0"/>
              <w:left w:val="single" w:color="auto" w:sz="4" w:space="0"/>
              <w:right w:val="single" w:color="auto" w:sz="4" w:space="0"/>
            </w:tcBorders>
            <w:vAlign w:val="center"/>
          </w:tcPr>
          <w:p>
            <w:pPr>
              <w:spacing w:line="320" w:lineRule="exact"/>
              <w:jc w:val="center"/>
              <w:rPr>
                <w:rFonts w:eastAsiaTheme="minorEastAsia"/>
                <w:szCs w:val="21"/>
              </w:rPr>
            </w:pPr>
            <w:r>
              <w:rPr>
                <w:rFonts w:eastAsiaTheme="minorEastAsia"/>
                <w:szCs w:val="21"/>
              </w:rPr>
              <w:t>1</w:t>
            </w:r>
          </w:p>
        </w:tc>
        <w:tc>
          <w:tcPr>
            <w:tcW w:w="491" w:type="pct"/>
            <w:tcBorders>
              <w:top w:val="single" w:color="auto" w:sz="4" w:space="0"/>
              <w:left w:val="single" w:color="auto" w:sz="4" w:space="0"/>
              <w:right w:val="single" w:color="auto" w:sz="4" w:space="0"/>
            </w:tcBorders>
            <w:vAlign w:val="center"/>
          </w:tcPr>
          <w:p>
            <w:pPr>
              <w:spacing w:line="320" w:lineRule="exact"/>
              <w:jc w:val="center"/>
              <w:rPr>
                <w:rFonts w:eastAsiaTheme="minorEastAsia"/>
                <w:szCs w:val="21"/>
              </w:rPr>
            </w:pPr>
            <w:r>
              <w:rPr>
                <w:rFonts w:eastAsiaTheme="minorEastAsia"/>
                <w:bCs/>
                <w:color w:val="000000"/>
                <w:kern w:val="0"/>
                <w:szCs w:val="21"/>
              </w:rPr>
              <w:t>交互式智能平板</w:t>
            </w:r>
          </w:p>
        </w:tc>
        <w:tc>
          <w:tcPr>
            <w:tcW w:w="4097" w:type="pct"/>
            <w:tcBorders>
              <w:top w:val="single" w:color="auto" w:sz="4" w:space="0"/>
              <w:left w:val="single" w:color="auto" w:sz="4" w:space="0"/>
              <w:bottom w:val="single" w:color="auto" w:sz="4" w:space="0"/>
              <w:right w:val="single" w:color="auto" w:sz="4" w:space="0"/>
            </w:tcBorders>
          </w:tcPr>
          <w:p>
            <w:pPr>
              <w:spacing w:line="320" w:lineRule="exact"/>
              <w:rPr>
                <w:rFonts w:eastAsiaTheme="minorEastAsia"/>
                <w:b/>
                <w:szCs w:val="21"/>
              </w:rPr>
            </w:pPr>
            <w:r>
              <w:rPr>
                <w:rFonts w:hint="eastAsia" w:eastAsiaTheme="minorEastAsia"/>
                <w:b/>
                <w:szCs w:val="21"/>
              </w:rPr>
              <w:t>一、</w:t>
            </w:r>
            <w:r>
              <w:rPr>
                <w:rFonts w:eastAsiaTheme="minorEastAsia"/>
                <w:b/>
                <w:szCs w:val="21"/>
              </w:rPr>
              <w:t>整机结构要求：</w:t>
            </w:r>
          </w:p>
          <w:p>
            <w:pPr>
              <w:pStyle w:val="38"/>
              <w:numPr>
                <w:ilvl w:val="0"/>
                <w:numId w:val="2"/>
              </w:numPr>
              <w:spacing w:line="320" w:lineRule="exact"/>
              <w:ind w:firstLineChars="0"/>
              <w:rPr>
                <w:rFonts w:eastAsiaTheme="minorEastAsia"/>
                <w:szCs w:val="21"/>
              </w:rPr>
            </w:pPr>
            <w:r>
              <w:rPr>
                <w:rFonts w:eastAsiaTheme="minorEastAsia"/>
                <w:szCs w:val="21"/>
              </w:rPr>
              <w:t>显示尺寸：≥65英寸,采用LED背光源A规屏（提供A规屏原厂证明）。</w:t>
            </w:r>
          </w:p>
          <w:p>
            <w:pPr>
              <w:pStyle w:val="38"/>
              <w:numPr>
                <w:ilvl w:val="0"/>
                <w:numId w:val="2"/>
              </w:numPr>
              <w:spacing w:line="320" w:lineRule="exact"/>
              <w:ind w:firstLineChars="0"/>
              <w:rPr>
                <w:rFonts w:eastAsiaTheme="minorEastAsia"/>
                <w:szCs w:val="21"/>
              </w:rPr>
            </w:pPr>
            <w:r>
              <w:rPr>
                <w:rFonts w:eastAsiaTheme="minorEastAsia"/>
                <w:szCs w:val="21"/>
              </w:rPr>
              <w:t>显示比例：16:9；可视角度：≥178度；对比度：≥5000:1；亮度≥450cd/m2。</w:t>
            </w:r>
          </w:p>
          <w:p>
            <w:pPr>
              <w:pStyle w:val="38"/>
              <w:numPr>
                <w:ilvl w:val="0"/>
                <w:numId w:val="2"/>
              </w:numPr>
              <w:spacing w:line="320" w:lineRule="exact"/>
              <w:ind w:firstLineChars="0"/>
              <w:rPr>
                <w:rFonts w:eastAsiaTheme="minorEastAsia"/>
                <w:szCs w:val="21"/>
              </w:rPr>
            </w:pPr>
            <w:r>
              <w:rPr>
                <w:rFonts w:eastAsiaTheme="minorEastAsia"/>
                <w:szCs w:val="21"/>
              </w:rPr>
              <w:t>整机具有≥4mm防撞防划钢化玻璃， 透光率大于90%，可见光反射率小于8.3%。</w:t>
            </w:r>
          </w:p>
          <w:p>
            <w:pPr>
              <w:pStyle w:val="38"/>
              <w:numPr>
                <w:ilvl w:val="0"/>
                <w:numId w:val="2"/>
              </w:numPr>
              <w:spacing w:line="320" w:lineRule="exact"/>
              <w:ind w:firstLineChars="0"/>
              <w:rPr>
                <w:rFonts w:eastAsiaTheme="minorEastAsia"/>
                <w:szCs w:val="21"/>
              </w:rPr>
            </w:pPr>
            <w:r>
              <w:rPr>
                <w:rFonts w:eastAsiaTheme="minorEastAsia"/>
                <w:szCs w:val="21"/>
              </w:rPr>
              <w:t>整机开关键可设置为电视开关、电脑开关、节能待机三键合一，在节能待机状态下可节约能耗90%或以上。</w:t>
            </w:r>
          </w:p>
          <w:p>
            <w:pPr>
              <w:pStyle w:val="38"/>
              <w:numPr>
                <w:ilvl w:val="0"/>
                <w:numId w:val="2"/>
              </w:numPr>
              <w:spacing w:line="320" w:lineRule="exact"/>
              <w:ind w:firstLineChars="0"/>
              <w:rPr>
                <w:rFonts w:eastAsiaTheme="minorEastAsia"/>
                <w:szCs w:val="21"/>
              </w:rPr>
            </w:pPr>
            <w:r>
              <w:rPr>
                <w:rFonts w:eastAsiaTheme="minorEastAsia"/>
                <w:szCs w:val="21"/>
              </w:rPr>
              <w:t>整机前置物理按键≥8个，可实现一键节能待机，一键关闭/开启电脑，一键进Android主页，一键调整音量加减，一键调出功能菜单，一键调出信号源，一键关闭/开启电视电脑；为了保证触摸失灵情况下以上功能正常使用，必须采取物理按键方式实现。</w:t>
            </w:r>
          </w:p>
          <w:p>
            <w:pPr>
              <w:pStyle w:val="38"/>
              <w:numPr>
                <w:ilvl w:val="0"/>
                <w:numId w:val="2"/>
              </w:numPr>
              <w:spacing w:line="320" w:lineRule="exact"/>
              <w:ind w:firstLineChars="0"/>
              <w:rPr>
                <w:rFonts w:eastAsiaTheme="minorEastAsia"/>
                <w:szCs w:val="21"/>
              </w:rPr>
            </w:pPr>
            <w:r>
              <w:rPr>
                <w:rFonts w:eastAsiaTheme="minorEastAsia"/>
                <w:szCs w:val="21"/>
              </w:rPr>
              <w:t>整机前置接口≥6个，且必须有HDMI、VGA、Audio、PC-USB3.0、TV-USB2.0、TOUCH USB（为方便外接设备，不接受用侧边VGA、HDMI代替前置接口）。</w:t>
            </w:r>
          </w:p>
          <w:p>
            <w:pPr>
              <w:pStyle w:val="38"/>
              <w:numPr>
                <w:ilvl w:val="0"/>
                <w:numId w:val="2"/>
              </w:numPr>
              <w:spacing w:line="320" w:lineRule="exact"/>
              <w:ind w:firstLineChars="0"/>
              <w:rPr>
                <w:rFonts w:eastAsiaTheme="minorEastAsia"/>
                <w:szCs w:val="21"/>
              </w:rPr>
            </w:pPr>
            <w:r>
              <w:rPr>
                <w:rFonts w:eastAsiaTheme="minorEastAsia"/>
                <w:szCs w:val="21"/>
              </w:rPr>
              <w:t>输入接口（不含前置）：HDMI≥1、VGA≥1、AUDIO≥1、YPbPr≥1、AV≥2、RF≥1、Mic≥1、RS232≥1、USB≥2、TOUCH USB≥1；输出接口：SPDIF≥1、VGA≥1、AV≥1、earphone≥1。</w:t>
            </w:r>
          </w:p>
          <w:p>
            <w:pPr>
              <w:spacing w:line="320" w:lineRule="exact"/>
              <w:rPr>
                <w:rFonts w:eastAsiaTheme="minorEastAsia"/>
                <w:b/>
                <w:szCs w:val="21"/>
              </w:rPr>
            </w:pPr>
            <w:r>
              <w:rPr>
                <w:rFonts w:hint="eastAsia" w:eastAsiaTheme="minorEastAsia"/>
                <w:b/>
                <w:szCs w:val="21"/>
              </w:rPr>
              <w:t>二、</w:t>
            </w:r>
            <w:r>
              <w:rPr>
                <w:rFonts w:eastAsiaTheme="minorEastAsia"/>
                <w:b/>
                <w:szCs w:val="21"/>
              </w:rPr>
              <w:t>触摸系统要求：</w:t>
            </w:r>
          </w:p>
          <w:p>
            <w:pPr>
              <w:pStyle w:val="38"/>
              <w:numPr>
                <w:ilvl w:val="0"/>
                <w:numId w:val="3"/>
              </w:numPr>
              <w:spacing w:line="320" w:lineRule="exact"/>
              <w:ind w:firstLineChars="0"/>
              <w:rPr>
                <w:rFonts w:eastAsiaTheme="minorEastAsia"/>
                <w:szCs w:val="21"/>
              </w:rPr>
            </w:pPr>
            <w:r>
              <w:rPr>
                <w:rFonts w:eastAsiaTheme="minorEastAsia"/>
                <w:szCs w:val="21"/>
              </w:rPr>
              <w:t>支持安卓系统以及windows系统下免安装驱动，支持十点同时书写。</w:t>
            </w:r>
          </w:p>
          <w:p>
            <w:pPr>
              <w:pStyle w:val="38"/>
              <w:numPr>
                <w:ilvl w:val="0"/>
                <w:numId w:val="3"/>
              </w:numPr>
              <w:spacing w:line="320" w:lineRule="exact"/>
              <w:ind w:firstLineChars="0"/>
              <w:rPr>
                <w:rFonts w:eastAsiaTheme="minorEastAsia"/>
                <w:szCs w:val="21"/>
              </w:rPr>
            </w:pPr>
            <w:r>
              <w:rPr>
                <w:rFonts w:eastAsiaTheme="minorEastAsia"/>
                <w:szCs w:val="21"/>
              </w:rPr>
              <w:t>嵌入式红外触摸感应书写，支持≥2mm的任何非透明物体在屏幕上直接书写。</w:t>
            </w:r>
          </w:p>
          <w:p>
            <w:pPr>
              <w:pStyle w:val="38"/>
              <w:numPr>
                <w:ilvl w:val="0"/>
                <w:numId w:val="3"/>
              </w:numPr>
              <w:spacing w:line="320" w:lineRule="exact"/>
              <w:ind w:firstLineChars="0"/>
              <w:rPr>
                <w:rFonts w:eastAsiaTheme="minorEastAsia"/>
                <w:szCs w:val="21"/>
              </w:rPr>
            </w:pPr>
            <w:r>
              <w:rPr>
                <w:rFonts w:eastAsiaTheme="minorEastAsia"/>
                <w:szCs w:val="21"/>
              </w:rPr>
              <w:t>整机摸有效识别高度小于3 mm,，触摸物体距离玻璃外表面高度低于3 mm时，触摸屏识别为点击操作，保证触摸精准。</w:t>
            </w:r>
          </w:p>
          <w:p>
            <w:pPr>
              <w:pStyle w:val="38"/>
              <w:numPr>
                <w:ilvl w:val="0"/>
                <w:numId w:val="3"/>
              </w:numPr>
              <w:spacing w:line="320" w:lineRule="exact"/>
              <w:ind w:firstLineChars="0"/>
              <w:rPr>
                <w:rFonts w:eastAsiaTheme="minorEastAsia"/>
                <w:szCs w:val="21"/>
              </w:rPr>
            </w:pPr>
            <w:r>
              <w:rPr>
                <w:rFonts w:eastAsiaTheme="minorEastAsia"/>
                <w:szCs w:val="21"/>
              </w:rPr>
              <w:t>触摸组件在至少8个红外点被遮挡的情况下，触摸仍可正常使用，不影响正常书写。</w:t>
            </w:r>
          </w:p>
          <w:p>
            <w:pPr>
              <w:spacing w:line="320" w:lineRule="exact"/>
              <w:rPr>
                <w:rFonts w:eastAsiaTheme="minorEastAsia"/>
                <w:b/>
                <w:szCs w:val="21"/>
              </w:rPr>
            </w:pPr>
            <w:r>
              <w:rPr>
                <w:rFonts w:hint="eastAsia" w:eastAsiaTheme="minorEastAsia"/>
                <w:b/>
                <w:szCs w:val="21"/>
              </w:rPr>
              <w:t>三、</w:t>
            </w:r>
            <w:r>
              <w:rPr>
                <w:rFonts w:eastAsiaTheme="minorEastAsia"/>
                <w:b/>
                <w:szCs w:val="21"/>
              </w:rPr>
              <w:t>功能要求:</w:t>
            </w:r>
          </w:p>
          <w:p>
            <w:pPr>
              <w:pStyle w:val="38"/>
              <w:numPr>
                <w:ilvl w:val="0"/>
                <w:numId w:val="4"/>
              </w:numPr>
              <w:spacing w:line="320" w:lineRule="exact"/>
              <w:ind w:firstLineChars="0"/>
              <w:rPr>
                <w:rFonts w:eastAsiaTheme="minorEastAsia"/>
                <w:szCs w:val="21"/>
              </w:rPr>
            </w:pPr>
            <w:r>
              <w:rPr>
                <w:rFonts w:eastAsiaTheme="minorEastAsia"/>
                <w:szCs w:val="21"/>
              </w:rPr>
              <w:t>嵌入式安卓（Android）5.1或以上系统,支持在安卓系统下能够实现白板书写、Office软件使用、媒体播放、网页浏览等功能。</w:t>
            </w:r>
          </w:p>
          <w:p>
            <w:pPr>
              <w:pStyle w:val="38"/>
              <w:numPr>
                <w:ilvl w:val="0"/>
                <w:numId w:val="4"/>
              </w:numPr>
              <w:spacing w:line="320" w:lineRule="exact"/>
              <w:ind w:firstLineChars="0"/>
              <w:rPr>
                <w:rFonts w:eastAsiaTheme="minorEastAsia"/>
                <w:szCs w:val="21"/>
              </w:rPr>
            </w:pPr>
            <w:r>
              <w:rPr>
                <w:rFonts w:eastAsiaTheme="minorEastAsia"/>
                <w:szCs w:val="21"/>
              </w:rPr>
              <w:t>在嵌入式白板或批注状态下，需具有拳头或手掌手势识别板擦功能，且能够实现根据接触面积识别板擦的大小。</w:t>
            </w:r>
          </w:p>
          <w:p>
            <w:pPr>
              <w:pStyle w:val="38"/>
              <w:numPr>
                <w:ilvl w:val="0"/>
                <w:numId w:val="4"/>
              </w:numPr>
              <w:spacing w:line="320" w:lineRule="exact"/>
              <w:ind w:firstLineChars="0"/>
              <w:rPr>
                <w:rFonts w:eastAsiaTheme="minorEastAsia"/>
                <w:szCs w:val="21"/>
              </w:rPr>
            </w:pPr>
            <w:r>
              <w:rPr>
                <w:rFonts w:eastAsiaTheme="minorEastAsia"/>
                <w:szCs w:val="21"/>
              </w:rPr>
              <w:t>整机具有温度监控保护功能，可实时监测整机温度值，并可在主页上显示温度情况，能够根据温度变化显示不同的颜色以提示用户温度情况。</w:t>
            </w:r>
          </w:p>
          <w:p>
            <w:pPr>
              <w:pStyle w:val="38"/>
              <w:numPr>
                <w:ilvl w:val="0"/>
                <w:numId w:val="4"/>
              </w:numPr>
              <w:spacing w:line="320" w:lineRule="exact"/>
              <w:ind w:firstLineChars="0"/>
              <w:rPr>
                <w:rFonts w:eastAsiaTheme="minorEastAsia"/>
                <w:szCs w:val="21"/>
              </w:rPr>
            </w:pPr>
            <w:r>
              <w:rPr>
                <w:rFonts w:eastAsiaTheme="minorEastAsia"/>
                <w:szCs w:val="21"/>
              </w:rPr>
              <w:t>遥控器具备电视遥控功能和电脑键盘常用的F1-F12功能键、Windows等快捷按键，可实现一键开启白板软件、PPT上下翻页、一键锁定/解锁触摸及实体按键、一键黑屏、一键截屏、一键冻结屏、一键查看温度等功能。</w:t>
            </w:r>
          </w:p>
          <w:p>
            <w:pPr>
              <w:spacing w:line="320" w:lineRule="exact"/>
              <w:rPr>
                <w:rFonts w:eastAsiaTheme="minorEastAsia"/>
                <w:b/>
                <w:szCs w:val="21"/>
              </w:rPr>
            </w:pPr>
            <w:r>
              <w:rPr>
                <w:rFonts w:hint="eastAsia" w:eastAsiaTheme="minorEastAsia"/>
                <w:b/>
                <w:szCs w:val="21"/>
              </w:rPr>
              <w:t>四、</w:t>
            </w:r>
            <w:r>
              <w:rPr>
                <w:rFonts w:eastAsiaTheme="minorEastAsia"/>
                <w:b/>
                <w:szCs w:val="21"/>
              </w:rPr>
              <w:t>整机安全性要求</w:t>
            </w:r>
          </w:p>
          <w:p>
            <w:pPr>
              <w:pStyle w:val="38"/>
              <w:numPr>
                <w:ilvl w:val="0"/>
                <w:numId w:val="5"/>
              </w:numPr>
              <w:spacing w:line="320" w:lineRule="exact"/>
              <w:ind w:firstLineChars="0"/>
              <w:rPr>
                <w:rFonts w:eastAsiaTheme="minorEastAsia"/>
                <w:b/>
                <w:szCs w:val="21"/>
              </w:rPr>
            </w:pPr>
            <w:r>
              <w:rPr>
                <w:rFonts w:eastAsiaTheme="minorEastAsia"/>
                <w:bCs/>
                <w:szCs w:val="21"/>
              </w:rPr>
              <w:t>整机采用铝合金面框，边角采用圆弧结构，表面无尖锐边缘或突起。</w:t>
            </w:r>
          </w:p>
          <w:p>
            <w:pPr>
              <w:pStyle w:val="38"/>
              <w:numPr>
                <w:ilvl w:val="0"/>
                <w:numId w:val="5"/>
              </w:numPr>
              <w:spacing w:line="320" w:lineRule="exact"/>
              <w:ind w:firstLineChars="0"/>
              <w:rPr>
                <w:rFonts w:eastAsiaTheme="minorEastAsia"/>
                <w:b/>
                <w:szCs w:val="21"/>
              </w:rPr>
            </w:pPr>
            <w:r>
              <w:rPr>
                <w:rFonts w:eastAsiaTheme="minorEastAsia"/>
                <w:szCs w:val="21"/>
              </w:rPr>
              <w:t>整机具备防腐蚀、防辐射，信号端子口抗静电干扰，确保外连设备间的信号稳定及设备安全。</w:t>
            </w:r>
          </w:p>
          <w:p>
            <w:pPr>
              <w:pStyle w:val="38"/>
              <w:numPr>
                <w:ilvl w:val="0"/>
                <w:numId w:val="5"/>
              </w:numPr>
              <w:spacing w:line="320" w:lineRule="exact"/>
              <w:ind w:firstLineChars="0"/>
              <w:rPr>
                <w:rFonts w:eastAsiaTheme="minorEastAsia"/>
                <w:b/>
                <w:szCs w:val="21"/>
              </w:rPr>
            </w:pPr>
            <w:r>
              <w:rPr>
                <w:rFonts w:eastAsiaTheme="minorEastAsia"/>
                <w:szCs w:val="21"/>
              </w:rPr>
              <w:t>整机钢化玻璃可使用1.04kg钢球，在2m处自由落体撞击整机液晶显示屏幕的钢化玻璃无损伤破裂，功能无异常。</w:t>
            </w:r>
          </w:p>
          <w:p>
            <w:pPr>
              <w:spacing w:line="320" w:lineRule="exact"/>
              <w:rPr>
                <w:rFonts w:eastAsiaTheme="minorEastAsia"/>
                <w:b/>
                <w:szCs w:val="21"/>
              </w:rPr>
            </w:pPr>
            <w:r>
              <w:rPr>
                <w:rFonts w:hint="eastAsia" w:eastAsiaTheme="minorEastAsia"/>
                <w:b/>
                <w:szCs w:val="21"/>
              </w:rPr>
              <w:t>五、</w:t>
            </w:r>
            <w:r>
              <w:rPr>
                <w:rFonts w:eastAsiaTheme="minorEastAsia"/>
                <w:b/>
                <w:szCs w:val="21"/>
              </w:rPr>
              <w:t>内置电脑配置</w:t>
            </w:r>
          </w:p>
          <w:p>
            <w:pPr>
              <w:spacing w:line="320" w:lineRule="exact"/>
              <w:rPr>
                <w:rFonts w:eastAsiaTheme="minorEastAsia"/>
                <w:szCs w:val="21"/>
              </w:rPr>
            </w:pPr>
            <w:r>
              <w:rPr>
                <w:rFonts w:eastAsiaTheme="minorEastAsia"/>
                <w:szCs w:val="21"/>
              </w:rPr>
              <w:t>1.电脑主板H110或以上，CPU不低于Intel  Core I5，主频≥3.0 Hz，内存≥4G，固态硬盘≥128G。</w:t>
            </w:r>
          </w:p>
          <w:p>
            <w:pPr>
              <w:spacing w:line="320" w:lineRule="exact"/>
              <w:rPr>
                <w:rFonts w:eastAsiaTheme="minorEastAsia"/>
                <w:szCs w:val="21"/>
              </w:rPr>
            </w:pPr>
            <w:r>
              <w:rPr>
                <w:rFonts w:eastAsiaTheme="minorEastAsia"/>
                <w:szCs w:val="21"/>
              </w:rPr>
              <w:t>2.模块化OPS主机采用插拔式结构，内部Inter标准80pin接口，无任何外接电源线和信号线，方便检测维护。</w:t>
            </w:r>
          </w:p>
          <w:p>
            <w:pPr>
              <w:spacing w:line="320" w:lineRule="exact"/>
              <w:rPr>
                <w:rFonts w:eastAsiaTheme="minorEastAsia"/>
                <w:szCs w:val="21"/>
              </w:rPr>
            </w:pPr>
            <w:r>
              <w:rPr>
                <w:rFonts w:eastAsiaTheme="minorEastAsia"/>
                <w:szCs w:val="21"/>
              </w:rPr>
              <w:t>3.输入：USB接口≥6，其中USB3.0接口≥2；输出：HDMI≥1，VGA≥1，RS232≥1，RJ45≥1，且须具有WI-FI模块，蓝牙。</w:t>
            </w:r>
          </w:p>
          <w:p>
            <w:pPr>
              <w:spacing w:line="320" w:lineRule="exact"/>
              <w:rPr>
                <w:rFonts w:eastAsiaTheme="minorEastAsia"/>
                <w:b/>
                <w:szCs w:val="21"/>
              </w:rPr>
            </w:pPr>
            <w:r>
              <w:rPr>
                <w:rFonts w:eastAsiaTheme="minorEastAsia"/>
                <w:b/>
                <w:szCs w:val="21"/>
              </w:rPr>
              <w:t>六、配套软件</w:t>
            </w:r>
          </w:p>
          <w:p>
            <w:pPr>
              <w:spacing w:line="320" w:lineRule="exact"/>
              <w:rPr>
                <w:rFonts w:eastAsiaTheme="minorEastAsia"/>
                <w:b/>
                <w:szCs w:val="21"/>
              </w:rPr>
            </w:pPr>
            <w:r>
              <w:rPr>
                <w:rFonts w:hint="eastAsia" w:eastAsiaTheme="minorEastAsia"/>
                <w:b/>
                <w:szCs w:val="21"/>
              </w:rPr>
              <w:t>1</w:t>
            </w:r>
            <w:r>
              <w:rPr>
                <w:rFonts w:eastAsiaTheme="minorEastAsia"/>
                <w:b/>
                <w:szCs w:val="21"/>
              </w:rPr>
              <w:t>. 多点触控电子白板软件</w:t>
            </w:r>
          </w:p>
          <w:p>
            <w:pPr>
              <w:pStyle w:val="38"/>
              <w:numPr>
                <w:ilvl w:val="0"/>
                <w:numId w:val="6"/>
              </w:numPr>
              <w:spacing w:line="320" w:lineRule="exact"/>
              <w:ind w:firstLineChars="0"/>
              <w:rPr>
                <w:rFonts w:eastAsiaTheme="minorEastAsia"/>
                <w:szCs w:val="21"/>
              </w:rPr>
            </w:pPr>
            <w:r>
              <w:rPr>
                <w:rFonts w:eastAsiaTheme="minorEastAsia"/>
                <w:szCs w:val="21"/>
              </w:rPr>
              <w:t>支持点击打开软件图标即可使用，无需通过账号、扫描二维码等方式登录打开，避免影响老师教学。</w:t>
            </w:r>
          </w:p>
          <w:p>
            <w:pPr>
              <w:pStyle w:val="38"/>
              <w:numPr>
                <w:ilvl w:val="0"/>
                <w:numId w:val="6"/>
              </w:numPr>
              <w:spacing w:line="320" w:lineRule="exact"/>
              <w:ind w:firstLineChars="0"/>
              <w:rPr>
                <w:rFonts w:eastAsiaTheme="minorEastAsia"/>
                <w:szCs w:val="21"/>
              </w:rPr>
            </w:pPr>
            <w:r>
              <w:rPr>
                <w:rFonts w:eastAsiaTheme="minorEastAsia"/>
                <w:szCs w:val="21"/>
              </w:rPr>
              <w:t>工具栏采用扁平化带中文标识图标方式，易于识别，便于操作，分类清晰。</w:t>
            </w:r>
          </w:p>
          <w:p>
            <w:pPr>
              <w:pStyle w:val="38"/>
              <w:numPr>
                <w:ilvl w:val="0"/>
                <w:numId w:val="6"/>
              </w:numPr>
              <w:spacing w:line="320" w:lineRule="exact"/>
              <w:ind w:firstLineChars="0"/>
              <w:rPr>
                <w:rFonts w:eastAsiaTheme="minorEastAsia"/>
                <w:szCs w:val="21"/>
              </w:rPr>
            </w:pPr>
            <w:r>
              <w:rPr>
                <w:rFonts w:eastAsiaTheme="minorEastAsia"/>
                <w:szCs w:val="21"/>
              </w:rPr>
              <w:t>兼容Windows多点触摸协议，支持多人同时书写与擦除，书写轨迹流畅平滑。</w:t>
            </w:r>
          </w:p>
          <w:p>
            <w:pPr>
              <w:pStyle w:val="38"/>
              <w:numPr>
                <w:ilvl w:val="0"/>
                <w:numId w:val="6"/>
              </w:numPr>
              <w:spacing w:line="320" w:lineRule="exact"/>
              <w:ind w:firstLineChars="0"/>
              <w:rPr>
                <w:rFonts w:eastAsiaTheme="minorEastAsia"/>
                <w:szCs w:val="21"/>
              </w:rPr>
            </w:pPr>
            <w:r>
              <w:rPr>
                <w:rFonts w:eastAsiaTheme="minorEastAsia"/>
                <w:szCs w:val="21"/>
              </w:rPr>
              <w:t>提供普通笔，排笔，软笔，纹理笔，荧光笔，智能笔，激光笔，魔术笔等多种功能书写笔，纹理笔可提供不少于十二种不同纹理图案以满足老师批注不同层次重点，魔术笔提供不少于十二种包括爱心、星星、月亮、动植物等图案增加教学趣味性，并提供同一界面中不同粗细，不同色彩，线形的设置。</w:t>
            </w:r>
          </w:p>
          <w:p>
            <w:pPr>
              <w:pStyle w:val="38"/>
              <w:numPr>
                <w:ilvl w:val="0"/>
                <w:numId w:val="6"/>
              </w:numPr>
              <w:spacing w:line="320" w:lineRule="exact"/>
              <w:ind w:firstLineChars="0"/>
              <w:rPr>
                <w:rFonts w:eastAsiaTheme="minorEastAsia"/>
                <w:szCs w:val="21"/>
              </w:rPr>
            </w:pPr>
            <w:r>
              <w:rPr>
                <w:rFonts w:eastAsiaTheme="minorEastAsia"/>
                <w:szCs w:val="21"/>
              </w:rPr>
              <w:t>提供数学画板功能，支持任意的平面和立体几何图形，函数的绘制，支持自定义函数参数和常数,支持三视图和透视图预览显示效果。</w:t>
            </w:r>
          </w:p>
          <w:p>
            <w:pPr>
              <w:pStyle w:val="38"/>
              <w:numPr>
                <w:ilvl w:val="0"/>
                <w:numId w:val="6"/>
              </w:numPr>
              <w:spacing w:line="320" w:lineRule="exact"/>
              <w:ind w:firstLineChars="0"/>
              <w:rPr>
                <w:rFonts w:eastAsiaTheme="minorEastAsia"/>
                <w:szCs w:val="21"/>
              </w:rPr>
            </w:pPr>
            <w:r>
              <w:rPr>
                <w:rFonts w:eastAsiaTheme="minorEastAsia"/>
                <w:szCs w:val="21"/>
              </w:rPr>
              <w:t>白板具有自定义密码锁定屏幕，保护教学内容不被破坏。</w:t>
            </w:r>
          </w:p>
          <w:p>
            <w:pPr>
              <w:pStyle w:val="38"/>
              <w:numPr>
                <w:ilvl w:val="0"/>
                <w:numId w:val="6"/>
              </w:numPr>
              <w:spacing w:line="320" w:lineRule="exact"/>
              <w:ind w:firstLineChars="0"/>
              <w:rPr>
                <w:rFonts w:eastAsiaTheme="minorEastAsia"/>
                <w:szCs w:val="21"/>
              </w:rPr>
            </w:pPr>
            <w:r>
              <w:rPr>
                <w:rFonts w:eastAsiaTheme="minorEastAsia"/>
                <w:szCs w:val="21"/>
              </w:rPr>
              <w:t>多屏书写：提供不少于三个背景模板，不少于分三屏书写，须同时具有边写边擦功能。</w:t>
            </w:r>
          </w:p>
          <w:p>
            <w:pPr>
              <w:pStyle w:val="38"/>
              <w:numPr>
                <w:ilvl w:val="0"/>
                <w:numId w:val="6"/>
              </w:numPr>
              <w:spacing w:line="320" w:lineRule="exact"/>
              <w:ind w:firstLineChars="0"/>
              <w:rPr>
                <w:rFonts w:eastAsiaTheme="minorEastAsia"/>
                <w:szCs w:val="21"/>
              </w:rPr>
            </w:pPr>
            <w:r>
              <w:rPr>
                <w:rFonts w:eastAsiaTheme="minorEastAsia"/>
                <w:szCs w:val="21"/>
              </w:rPr>
              <w:t>在软件文档中可直接打开PPT进行播放,提供PPT批注、擦除、翻页、预览、黑屏、同步播放音频、一键切换等功能,且可将标注内容直接保存到PPT文件中，不改变PPT格式。</w:t>
            </w:r>
          </w:p>
          <w:p>
            <w:pPr>
              <w:spacing w:line="320" w:lineRule="exact"/>
              <w:rPr>
                <w:rFonts w:eastAsiaTheme="minorEastAsia"/>
                <w:szCs w:val="21"/>
              </w:rPr>
            </w:pPr>
            <w:r>
              <w:rPr>
                <w:rFonts w:hint="eastAsia" w:eastAsiaTheme="minorEastAsia"/>
                <w:b/>
                <w:szCs w:val="21"/>
              </w:rPr>
              <w:t>2</w:t>
            </w:r>
            <w:r>
              <w:rPr>
                <w:rFonts w:eastAsiaTheme="minorEastAsia"/>
                <w:b/>
                <w:szCs w:val="21"/>
              </w:rPr>
              <w:t>. 网络版教学资源软件</w:t>
            </w:r>
          </w:p>
          <w:p>
            <w:pPr>
              <w:pStyle w:val="38"/>
              <w:numPr>
                <w:ilvl w:val="0"/>
                <w:numId w:val="7"/>
              </w:numPr>
              <w:spacing w:line="320" w:lineRule="exact"/>
              <w:ind w:firstLineChars="0"/>
              <w:rPr>
                <w:rFonts w:eastAsiaTheme="minorEastAsia"/>
                <w:szCs w:val="21"/>
              </w:rPr>
            </w:pPr>
            <w:r>
              <w:rPr>
                <w:rFonts w:eastAsiaTheme="minorEastAsia"/>
                <w:szCs w:val="21"/>
              </w:rPr>
              <w:t>具备网络资源、校本资源、个人资源库，网络资源根据学段、科目、年级、教材版本分类呈现，方便检索查阅资源。</w:t>
            </w:r>
          </w:p>
          <w:p>
            <w:pPr>
              <w:pStyle w:val="38"/>
              <w:numPr>
                <w:ilvl w:val="0"/>
                <w:numId w:val="7"/>
              </w:numPr>
              <w:spacing w:line="320" w:lineRule="exact"/>
              <w:ind w:firstLineChars="0"/>
              <w:rPr>
                <w:rFonts w:eastAsiaTheme="minorEastAsia"/>
                <w:szCs w:val="21"/>
              </w:rPr>
            </w:pPr>
            <w:r>
              <w:rPr>
                <w:rFonts w:eastAsiaTheme="minorEastAsia"/>
                <w:szCs w:val="21"/>
              </w:rPr>
              <w:t>通用素材：分栏目展示各种背景透明的素材,提供多种检索方式，方便用户查阅所需的素材。</w:t>
            </w:r>
          </w:p>
          <w:p>
            <w:pPr>
              <w:pStyle w:val="38"/>
              <w:numPr>
                <w:ilvl w:val="0"/>
                <w:numId w:val="7"/>
              </w:numPr>
              <w:spacing w:line="320" w:lineRule="exact"/>
              <w:ind w:firstLineChars="0"/>
              <w:rPr>
                <w:rFonts w:eastAsiaTheme="minorEastAsia"/>
                <w:szCs w:val="21"/>
              </w:rPr>
            </w:pPr>
            <w:r>
              <w:rPr>
                <w:rFonts w:eastAsiaTheme="minorEastAsia"/>
                <w:szCs w:val="21"/>
              </w:rPr>
              <w:t>具备微课管理模块：主要分为上传微课、看过的微课、我的微课以及收藏的微课四个模块。用户可以通过这四个模块对自己的微课进行上传、编辑、收藏、删除等相关操作。</w:t>
            </w:r>
          </w:p>
          <w:p>
            <w:pPr>
              <w:pStyle w:val="38"/>
              <w:numPr>
                <w:ilvl w:val="0"/>
                <w:numId w:val="7"/>
              </w:numPr>
              <w:spacing w:line="320" w:lineRule="exact"/>
              <w:ind w:firstLineChars="0"/>
              <w:rPr>
                <w:rFonts w:eastAsiaTheme="minorEastAsia"/>
                <w:szCs w:val="21"/>
              </w:rPr>
            </w:pPr>
            <w:r>
              <w:rPr>
                <w:rFonts w:eastAsiaTheme="minorEastAsia"/>
                <w:szCs w:val="21"/>
              </w:rPr>
              <w:t>具有仿真实验室，且能够明确分类实验目的、实验器材、实验步骤及注意事项。</w:t>
            </w:r>
          </w:p>
          <w:p>
            <w:pPr>
              <w:pStyle w:val="38"/>
              <w:numPr>
                <w:ilvl w:val="0"/>
                <w:numId w:val="7"/>
              </w:numPr>
              <w:spacing w:line="320" w:lineRule="exact"/>
              <w:ind w:firstLineChars="0"/>
              <w:rPr>
                <w:rFonts w:eastAsiaTheme="minorEastAsia"/>
                <w:szCs w:val="21"/>
              </w:rPr>
            </w:pPr>
            <w:r>
              <w:rPr>
                <w:rFonts w:eastAsiaTheme="minorEastAsia"/>
                <w:szCs w:val="21"/>
              </w:rPr>
              <w:t>我的资源库：用户可以上传资源到“我的资源库”。</w:t>
            </w:r>
          </w:p>
          <w:p>
            <w:pPr>
              <w:spacing w:line="320" w:lineRule="exact"/>
              <w:rPr>
                <w:rFonts w:eastAsiaTheme="minorEastAsia"/>
                <w:b/>
                <w:bCs/>
                <w:szCs w:val="21"/>
              </w:rPr>
            </w:pPr>
            <w:r>
              <w:rPr>
                <w:rFonts w:eastAsiaTheme="minorEastAsia"/>
                <w:b/>
                <w:bCs/>
                <w:szCs w:val="21"/>
              </w:rPr>
              <w:t>七、移动支架</w:t>
            </w:r>
          </w:p>
          <w:p>
            <w:pPr>
              <w:spacing w:after="156" w:afterLines="50" w:line="320" w:lineRule="exact"/>
              <w:rPr>
                <w:rFonts w:eastAsiaTheme="minorEastAsia"/>
                <w:szCs w:val="21"/>
              </w:rPr>
            </w:pPr>
            <w:r>
              <w:rPr>
                <w:rFonts w:eastAsiaTheme="minorEastAsia"/>
                <w:szCs w:val="21"/>
              </w:rPr>
              <w:t>材质：SPCC高强度钢板表面喷涂 一体机安装高度可根据孔位手动自由调节</w:t>
            </w:r>
            <w:r>
              <w:rPr>
                <w:rFonts w:hint="eastAsia" w:eastAsiaTheme="minorEastAsia"/>
                <w:szCs w:val="21"/>
              </w:rPr>
              <w:t>。</w:t>
            </w:r>
          </w:p>
        </w:tc>
      </w:tr>
    </w:tbl>
    <w:p>
      <w:pPr>
        <w:pStyle w:val="35"/>
        <w:rPr>
          <w:rFonts w:ascii="Times New Roman" w:cs="Times New Roman" w:eastAsiaTheme="minorEastAsia"/>
          <w:sz w:val="21"/>
          <w:szCs w:val="21"/>
        </w:rPr>
      </w:pPr>
    </w:p>
    <w:p>
      <w:pPr>
        <w:ind w:firstLine="241" w:firstLineChars="100"/>
        <w:outlineLvl w:val="2"/>
        <w:rPr>
          <w:rFonts w:asciiTheme="minorEastAsia" w:hAnsiTheme="minorEastAsia" w:eastAsiaTheme="minorEastAsia"/>
          <w:b/>
          <w:bCs/>
          <w:sz w:val="24"/>
        </w:rPr>
      </w:pPr>
      <w:r>
        <w:rPr>
          <w:rFonts w:hint="eastAsia" w:cs="宋体" w:asciiTheme="minorEastAsia" w:hAnsiTheme="minorEastAsia" w:eastAsiaTheme="minorEastAsia"/>
          <w:b/>
          <w:bCs/>
          <w:sz w:val="24"/>
        </w:rPr>
        <w:t>（十七）学生凳</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837"/>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b/>
                <w:bCs/>
                <w:szCs w:val="21"/>
              </w:rPr>
            </w:pPr>
            <w:r>
              <w:rPr>
                <w:rFonts w:eastAsiaTheme="minorEastAsia"/>
                <w:b/>
                <w:bCs/>
                <w:szCs w:val="21"/>
              </w:rPr>
              <w:t>序号</w:t>
            </w:r>
          </w:p>
        </w:tc>
        <w:tc>
          <w:tcPr>
            <w:tcW w:w="491"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b/>
                <w:bCs/>
                <w:szCs w:val="21"/>
              </w:rPr>
            </w:pPr>
            <w:r>
              <w:rPr>
                <w:rFonts w:eastAsiaTheme="minorEastAsia"/>
                <w:b/>
                <w:bCs/>
                <w:szCs w:val="21"/>
              </w:rPr>
              <w:t>名称</w:t>
            </w:r>
          </w:p>
        </w:tc>
        <w:tc>
          <w:tcPr>
            <w:tcW w:w="4097" w:type="pct"/>
            <w:tcBorders>
              <w:top w:val="single" w:color="auto" w:sz="4" w:space="0"/>
              <w:left w:val="single" w:color="auto" w:sz="4" w:space="0"/>
              <w:bottom w:val="single" w:color="auto" w:sz="4" w:space="0"/>
              <w:right w:val="single" w:color="auto" w:sz="4" w:space="0"/>
            </w:tcBorders>
            <w:vAlign w:val="center"/>
          </w:tcPr>
          <w:p>
            <w:pPr>
              <w:jc w:val="center"/>
              <w:rPr>
                <w:rFonts w:eastAsiaTheme="minorEastAsia"/>
                <w:b/>
                <w:bCs/>
                <w:szCs w:val="21"/>
              </w:rPr>
            </w:pPr>
            <w:r>
              <w:rPr>
                <w:rFonts w:eastAsiaTheme="minorEastAsia"/>
                <w:b/>
                <w:bCs/>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12" w:type="pct"/>
            <w:vMerge w:val="restart"/>
            <w:tcBorders>
              <w:top w:val="single" w:color="auto" w:sz="4" w:space="0"/>
              <w:left w:val="single" w:color="auto" w:sz="4" w:space="0"/>
              <w:right w:val="single" w:color="auto" w:sz="4" w:space="0"/>
            </w:tcBorders>
            <w:vAlign w:val="center"/>
          </w:tcPr>
          <w:p>
            <w:pPr>
              <w:jc w:val="center"/>
              <w:rPr>
                <w:rFonts w:eastAsiaTheme="minorEastAsia"/>
                <w:szCs w:val="21"/>
              </w:rPr>
            </w:pPr>
            <w:r>
              <w:rPr>
                <w:rFonts w:eastAsiaTheme="minorEastAsia"/>
                <w:szCs w:val="21"/>
              </w:rPr>
              <w:t>1</w:t>
            </w:r>
          </w:p>
        </w:tc>
        <w:tc>
          <w:tcPr>
            <w:tcW w:w="491" w:type="pct"/>
            <w:vMerge w:val="restart"/>
            <w:tcBorders>
              <w:top w:val="single" w:color="auto" w:sz="4" w:space="0"/>
              <w:left w:val="single" w:color="auto" w:sz="4" w:space="0"/>
              <w:right w:val="single" w:color="auto" w:sz="4" w:space="0"/>
            </w:tcBorders>
            <w:vAlign w:val="center"/>
          </w:tcPr>
          <w:p>
            <w:pPr>
              <w:jc w:val="center"/>
              <w:rPr>
                <w:rFonts w:eastAsiaTheme="minorEastAsia"/>
                <w:szCs w:val="21"/>
              </w:rPr>
            </w:pPr>
            <w:r>
              <w:rPr>
                <w:rFonts w:eastAsiaTheme="minorEastAsia"/>
                <w:szCs w:val="21"/>
              </w:rPr>
              <w:t>学生凳</w:t>
            </w:r>
          </w:p>
        </w:tc>
        <w:tc>
          <w:tcPr>
            <w:tcW w:w="4097" w:type="pct"/>
            <w:tcBorders>
              <w:top w:val="single" w:color="auto" w:sz="4" w:space="0"/>
              <w:left w:val="single" w:color="auto" w:sz="4" w:space="0"/>
              <w:bottom w:val="single" w:color="auto" w:sz="4" w:space="0"/>
              <w:right w:val="single" w:color="auto" w:sz="4" w:space="0"/>
            </w:tcBorders>
            <w:vAlign w:val="center"/>
          </w:tcPr>
          <w:p>
            <w:pPr>
              <w:jc w:val="left"/>
              <w:rPr>
                <w:rFonts w:eastAsiaTheme="minorEastAsia"/>
                <w:szCs w:val="21"/>
              </w:rPr>
            </w:pPr>
            <w:r>
              <w:rPr>
                <w:rFonts w:eastAsiaTheme="minorEastAsia"/>
                <w:szCs w:val="21"/>
              </w:rPr>
              <w:t>要求为方凳，方钢支架，表面喷塑处理，采用木头凳面。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12" w:type="pct"/>
            <w:vMerge w:val="continue"/>
            <w:tcBorders>
              <w:left w:val="single" w:color="auto" w:sz="4" w:space="0"/>
              <w:right w:val="single" w:color="auto" w:sz="4" w:space="0"/>
            </w:tcBorders>
            <w:vAlign w:val="center"/>
          </w:tcPr>
          <w:p>
            <w:pPr>
              <w:jc w:val="center"/>
              <w:rPr>
                <w:rFonts w:eastAsiaTheme="minorEastAsia"/>
                <w:szCs w:val="21"/>
              </w:rPr>
            </w:pPr>
          </w:p>
        </w:tc>
        <w:tc>
          <w:tcPr>
            <w:tcW w:w="491" w:type="pct"/>
            <w:vMerge w:val="continue"/>
            <w:tcBorders>
              <w:left w:val="single" w:color="auto" w:sz="4" w:space="0"/>
              <w:right w:val="single" w:color="auto" w:sz="4" w:space="0"/>
            </w:tcBorders>
            <w:vAlign w:val="center"/>
          </w:tcPr>
          <w:p>
            <w:pPr>
              <w:jc w:val="center"/>
              <w:rPr>
                <w:rFonts w:eastAsiaTheme="minorEastAsia"/>
                <w:szCs w:val="21"/>
              </w:rPr>
            </w:pPr>
          </w:p>
        </w:tc>
        <w:tc>
          <w:tcPr>
            <w:tcW w:w="4097" w:type="pct"/>
            <w:tcBorders>
              <w:top w:val="single" w:color="auto" w:sz="4" w:space="0"/>
              <w:left w:val="single" w:color="auto" w:sz="4" w:space="0"/>
              <w:bottom w:val="single" w:color="auto" w:sz="4" w:space="0"/>
              <w:right w:val="single" w:color="auto" w:sz="4" w:space="0"/>
            </w:tcBorders>
            <w:vAlign w:val="center"/>
          </w:tcPr>
          <w:p>
            <w:pPr>
              <w:jc w:val="left"/>
              <w:rPr>
                <w:rFonts w:eastAsiaTheme="minorEastAsia"/>
                <w:szCs w:val="21"/>
              </w:rPr>
            </w:pPr>
            <w:r>
              <w:rPr>
                <w:rFonts w:eastAsiaTheme="minorEastAsia"/>
                <w:szCs w:val="21"/>
              </w:rPr>
              <w:t>外形尺寸（长*宽*高）：32cm*27cm*43cm</w:t>
            </w:r>
          </w:p>
        </w:tc>
      </w:tr>
    </w:tbl>
    <w:p/>
    <w:p>
      <w:pPr>
        <w:spacing w:line="360" w:lineRule="auto"/>
        <w:ind w:firstLine="482" w:firstLineChars="200"/>
        <w:outlineLvl w:val="1"/>
        <w:rPr>
          <w:b/>
          <w:color w:val="000000"/>
          <w:sz w:val="24"/>
        </w:rPr>
      </w:pPr>
      <w:r>
        <w:rPr>
          <w:b/>
          <w:color w:val="000000"/>
          <w:sz w:val="24"/>
        </w:rPr>
        <w:t>四、技术资料</w:t>
      </w:r>
    </w:p>
    <w:p>
      <w:pPr>
        <w:spacing w:line="360" w:lineRule="auto"/>
        <w:ind w:firstLine="480" w:firstLineChars="200"/>
        <w:rPr>
          <w:color w:val="000000"/>
          <w:sz w:val="24"/>
        </w:rPr>
      </w:pPr>
      <w:r>
        <w:rPr>
          <w:color w:val="000000"/>
          <w:sz w:val="24"/>
        </w:rPr>
        <w:t>提供3套随机文件：编程手册、设备操作说明书、合格证明书等。另外，所有技术资料均提供电子版的1套。</w:t>
      </w:r>
    </w:p>
    <w:p>
      <w:pPr>
        <w:spacing w:line="360" w:lineRule="auto"/>
        <w:ind w:firstLine="482" w:firstLineChars="200"/>
        <w:outlineLvl w:val="1"/>
        <w:rPr>
          <w:b/>
          <w:color w:val="000000"/>
          <w:sz w:val="24"/>
        </w:rPr>
      </w:pPr>
      <w:r>
        <w:rPr>
          <w:b/>
          <w:color w:val="000000"/>
          <w:sz w:val="24"/>
        </w:rPr>
        <w:t>五、设备安装调试及操作培训等要求</w:t>
      </w:r>
    </w:p>
    <w:p>
      <w:pPr>
        <w:spacing w:line="360" w:lineRule="auto"/>
        <w:ind w:firstLine="480" w:firstLineChars="200"/>
        <w:rPr>
          <w:color w:val="000000"/>
          <w:sz w:val="24"/>
        </w:rPr>
      </w:pPr>
      <w:r>
        <w:rPr>
          <w:color w:val="000000"/>
          <w:sz w:val="24"/>
        </w:rPr>
        <w:t>1.设备安装调试</w:t>
      </w:r>
    </w:p>
    <w:p>
      <w:pPr>
        <w:spacing w:line="360" w:lineRule="auto"/>
        <w:ind w:firstLine="480" w:firstLineChars="200"/>
        <w:rPr>
          <w:color w:val="000000"/>
          <w:sz w:val="24"/>
        </w:rPr>
      </w:pPr>
      <w:r>
        <w:rPr>
          <w:color w:val="000000"/>
          <w:sz w:val="24"/>
        </w:rPr>
        <w:t>投标人将所供货物运至交货地点，采购单位相关人员在场时拆箱，由采购人当场清点验收。清点验收完成后进行安装调试。安装调试必须在环境符合设备要求的条件下进行，须取得采购单位相关人员的许可。</w:t>
      </w:r>
    </w:p>
    <w:p>
      <w:pPr>
        <w:spacing w:line="360" w:lineRule="auto"/>
        <w:ind w:firstLine="480" w:firstLineChars="200"/>
        <w:rPr>
          <w:color w:val="000000"/>
          <w:sz w:val="24"/>
        </w:rPr>
      </w:pPr>
      <w:r>
        <w:rPr>
          <w:color w:val="000000"/>
          <w:sz w:val="24"/>
        </w:rPr>
        <w:t>2.培训：设备投标方在招标方现场（或者投标方的培训中心）完成招标方操作人员的培训，培训人数：2-5人，培训时间为3-5天；培训必须在系统终验之前完成。</w:t>
      </w:r>
    </w:p>
    <w:p>
      <w:pPr>
        <w:spacing w:line="360" w:lineRule="auto"/>
        <w:ind w:firstLine="482" w:firstLineChars="200"/>
        <w:outlineLvl w:val="1"/>
        <w:rPr>
          <w:b/>
          <w:color w:val="000000"/>
          <w:sz w:val="24"/>
        </w:rPr>
      </w:pPr>
      <w:r>
        <w:rPr>
          <w:b/>
          <w:color w:val="000000"/>
          <w:sz w:val="24"/>
        </w:rPr>
        <w:t>六、验收标准</w:t>
      </w:r>
    </w:p>
    <w:p>
      <w:pPr>
        <w:spacing w:line="360" w:lineRule="auto"/>
        <w:ind w:firstLine="480" w:firstLineChars="200"/>
        <w:outlineLvl w:val="1"/>
        <w:rPr>
          <w:color w:val="000000"/>
          <w:sz w:val="24"/>
        </w:rPr>
      </w:pPr>
      <w:r>
        <w:rPr>
          <w:rFonts w:hint="eastAsia"/>
          <w:color w:val="000000"/>
          <w:sz w:val="24"/>
        </w:rPr>
        <w:t>按国家（地方）标准或行业标准、招标文件、投标文件、合同等有关内容进行验收。</w:t>
      </w:r>
    </w:p>
    <w:p>
      <w:pPr>
        <w:spacing w:line="360" w:lineRule="auto"/>
        <w:ind w:firstLine="482" w:firstLineChars="200"/>
        <w:outlineLvl w:val="1"/>
        <w:rPr>
          <w:b/>
          <w:color w:val="000000"/>
          <w:sz w:val="24"/>
        </w:rPr>
      </w:pPr>
      <w:r>
        <w:rPr>
          <w:b/>
          <w:color w:val="000000"/>
          <w:sz w:val="24"/>
        </w:rPr>
        <w:t>七、履约支付条款</w:t>
      </w:r>
    </w:p>
    <w:p>
      <w:pPr>
        <w:spacing w:line="360" w:lineRule="auto"/>
        <w:ind w:firstLine="480" w:firstLineChars="200"/>
        <w:rPr>
          <w:rFonts w:ascii="宋体" w:hAnsi="宋体" w:cs="宋体"/>
          <w:b/>
          <w:bCs/>
          <w:color w:val="000000"/>
          <w:sz w:val="24"/>
        </w:rPr>
      </w:pPr>
      <w:r>
        <w:rPr>
          <w:rFonts w:hint="eastAsia" w:ascii="宋体" w:hAnsi="宋体" w:cs="宋体"/>
          <w:color w:val="000000"/>
          <w:sz w:val="24"/>
        </w:rPr>
        <w:t>▲</w:t>
      </w:r>
      <w:r>
        <w:rPr>
          <w:rFonts w:hint="eastAsia" w:ascii="宋体" w:hAnsi="宋体" w:cs="宋体"/>
          <w:b/>
          <w:bCs/>
          <w:color w:val="000000"/>
          <w:sz w:val="24"/>
        </w:rPr>
        <w:t>1.合同签订后</w:t>
      </w:r>
      <w:r>
        <w:rPr>
          <w:rFonts w:hint="eastAsia" w:ascii="宋体" w:hAnsi="宋体" w:cs="宋体"/>
          <w:b/>
          <w:bCs/>
          <w:color w:val="FF0000"/>
          <w:sz w:val="24"/>
        </w:rPr>
        <w:t>60天</w:t>
      </w:r>
      <w:r>
        <w:rPr>
          <w:rFonts w:hint="eastAsia" w:ascii="宋体" w:hAnsi="宋体" w:cs="宋体"/>
          <w:b/>
          <w:bCs/>
          <w:color w:val="000000"/>
          <w:sz w:val="24"/>
        </w:rPr>
        <w:t>内完成供货（定制实验单元模块在3个月内完成供货），质保期</w:t>
      </w:r>
      <w:r>
        <w:rPr>
          <w:rFonts w:hint="eastAsia" w:ascii="宋体" w:hAnsi="宋体" w:cs="宋体"/>
          <w:b/>
          <w:bCs/>
          <w:color w:val="FF0000"/>
          <w:sz w:val="24"/>
        </w:rPr>
        <w:t>三年</w:t>
      </w:r>
      <w:r>
        <w:rPr>
          <w:rFonts w:hint="eastAsia" w:ascii="宋体" w:hAnsi="宋体" w:cs="宋体"/>
          <w:b/>
          <w:bCs/>
          <w:color w:val="000000"/>
          <w:sz w:val="24"/>
        </w:rPr>
        <w:t>，自项目验收合格之日起计算。</w:t>
      </w:r>
    </w:p>
    <w:p>
      <w:pPr>
        <w:spacing w:after="156" w:afterLines="50" w:line="360" w:lineRule="auto"/>
        <w:ind w:firstLine="480" w:firstLineChars="200"/>
        <w:rPr>
          <w:rFonts w:ascii="宋体" w:hAnsi="宋体" w:cs="宋体"/>
          <w:color w:val="000000"/>
          <w:sz w:val="24"/>
        </w:rPr>
      </w:pPr>
      <w:r>
        <w:rPr>
          <w:rFonts w:hint="eastAsia" w:ascii="宋体" w:hAnsi="宋体" w:cs="宋体"/>
          <w:color w:val="000000" w:themeColor="text1"/>
          <w:sz w:val="24"/>
          <w14:textFill>
            <w14:solidFill>
              <w14:schemeClr w14:val="tx1"/>
            </w14:solidFill>
          </w14:textFill>
        </w:rPr>
        <w:t>2.缴纳履约保证金后，分两次付款。在合同签订、人员进场工作一个月内支付合同总金额的30%；在项目完成并验收合格后10个工作日内支付合同余款。自验收合格之日起计壹年后履约保证金全额无息退还。</w:t>
      </w:r>
    </w:p>
    <w:p>
      <w:pPr>
        <w:spacing w:line="360" w:lineRule="auto"/>
        <w:ind w:firstLine="482" w:firstLineChars="200"/>
        <w:rPr>
          <w:b/>
          <w:bCs/>
          <w:color w:val="000000"/>
          <w:sz w:val="24"/>
        </w:rPr>
      </w:pPr>
      <w:r>
        <w:rPr>
          <w:b/>
          <w:bCs/>
          <w:color w:val="000000"/>
          <w:sz w:val="24"/>
        </w:rPr>
        <w:t>注：</w:t>
      </w:r>
      <w:r>
        <w:rPr>
          <w:rFonts w:hint="eastAsia" w:ascii="宋体" w:hAnsi="宋体"/>
          <w:b/>
          <w:bCs/>
          <w:color w:val="000000"/>
          <w:sz w:val="24"/>
        </w:rPr>
        <w:t>1.</w:t>
      </w:r>
      <w:r>
        <w:rPr>
          <w:rFonts w:hint="eastAsia" w:ascii="宋体" w:hAnsi="宋体"/>
          <w:sz w:val="24"/>
        </w:rPr>
        <w:t>本</w:t>
      </w:r>
      <w:r>
        <w:rPr>
          <w:sz w:val="24"/>
        </w:rPr>
        <w:t>项目有功能演示环节，请准备一份“演示录制视频 ”在投标截止前通过 EMS或顺丰邮寄方式寄送至“浙江省衢州市九华北大道78</w:t>
      </w:r>
      <w:r>
        <w:rPr>
          <w:color w:val="000000" w:themeColor="text1"/>
          <w:sz w:val="24"/>
          <w14:textFill>
            <w14:solidFill>
              <w14:schemeClr w14:val="tx1"/>
            </w14:solidFill>
          </w14:textFill>
        </w:rPr>
        <w:t>号衢州学院采购中心周老师收”。</w:t>
      </w:r>
      <w:r>
        <w:rPr>
          <w:sz w:val="24"/>
        </w:rPr>
        <w:t>“演示录制视频 ”时间控制在30分钟以内；视频格式要求为 Avi、MP4 等常用格式，以U盘单独密封提交，且密封袋上注明项目名称、供应商单位名称并加盖公章，未密封包装或者逾期邮寄送达的“演示录制视频”将不予接收 。</w:t>
      </w:r>
      <w:r>
        <w:rPr>
          <w:color w:val="FF0000"/>
          <w:sz w:val="24"/>
          <w:shd w:val="clear" w:color="auto" w:fill="FFFFFF"/>
        </w:rPr>
        <w:t>投标截止</w:t>
      </w:r>
      <w:r>
        <w:rPr>
          <w:rFonts w:hint="eastAsia" w:ascii="Arial" w:hAnsi="Arial" w:cs="Arial"/>
          <w:color w:val="FF0000"/>
          <w:sz w:val="24"/>
          <w:shd w:val="clear" w:color="auto" w:fill="FFFFFF"/>
        </w:rPr>
        <w:t>前没有送达</w:t>
      </w:r>
      <w:r>
        <w:rPr>
          <w:rFonts w:ascii="Arial" w:hAnsi="Arial" w:cs="Arial"/>
          <w:color w:val="FF0000"/>
          <w:sz w:val="24"/>
          <w:shd w:val="clear" w:color="auto" w:fill="FFFFFF"/>
        </w:rPr>
        <w:t>“</w:t>
      </w:r>
      <w:r>
        <w:rPr>
          <w:rFonts w:hint="eastAsia" w:ascii="Arial" w:hAnsi="Arial" w:cs="Arial"/>
          <w:color w:val="FF0000"/>
          <w:sz w:val="24"/>
          <w:shd w:val="clear" w:color="auto" w:fill="FFFFFF"/>
        </w:rPr>
        <w:t>演示录制视频</w:t>
      </w:r>
      <w:r>
        <w:rPr>
          <w:rFonts w:ascii="Arial" w:hAnsi="Arial" w:cs="Arial"/>
          <w:color w:val="FF0000"/>
          <w:sz w:val="24"/>
          <w:shd w:val="clear" w:color="auto" w:fill="FFFFFF"/>
        </w:rPr>
        <w:t>”</w:t>
      </w:r>
      <w:r>
        <w:rPr>
          <w:rFonts w:hint="eastAsia" w:ascii="Arial" w:hAnsi="Arial" w:cs="Arial"/>
          <w:color w:val="FF0000"/>
          <w:sz w:val="24"/>
          <w:shd w:val="clear" w:color="auto" w:fill="FFFFFF"/>
        </w:rPr>
        <w:t>的投标人视为无演示环节</w:t>
      </w:r>
      <w:r>
        <w:rPr>
          <w:rFonts w:ascii="Arial" w:hAnsi="Arial" w:cs="Arial"/>
          <w:color w:val="FF0000"/>
          <w:sz w:val="24"/>
          <w:shd w:val="clear" w:color="auto" w:fill="FFFFFF"/>
        </w:rPr>
        <w:t xml:space="preserve"> </w:t>
      </w:r>
      <w:r>
        <w:rPr>
          <w:rFonts w:hint="eastAsia" w:ascii="Arial" w:hAnsi="Arial" w:cs="Arial"/>
          <w:color w:val="FF0000"/>
          <w:sz w:val="24"/>
          <w:shd w:val="clear" w:color="auto" w:fill="FFFFFF"/>
        </w:rPr>
        <w:t>。</w:t>
      </w:r>
    </w:p>
    <w:p>
      <w:pPr>
        <w:spacing w:line="360" w:lineRule="auto"/>
        <w:ind w:firstLine="482" w:firstLineChars="200"/>
        <w:rPr>
          <w:b/>
          <w:bCs/>
          <w:color w:val="000000"/>
          <w:sz w:val="24"/>
        </w:rPr>
      </w:pPr>
      <w:r>
        <w:rPr>
          <w:b/>
          <w:bCs/>
          <w:color w:val="000000"/>
          <w:sz w:val="24"/>
        </w:rPr>
        <w:t>2.核心产品为机器人基础实验平台。</w:t>
      </w:r>
    </w:p>
    <w:p>
      <w:pPr>
        <w:spacing w:line="360" w:lineRule="auto"/>
        <w:ind w:firstLine="480" w:firstLineChars="200"/>
        <w:rPr>
          <w:b/>
          <w:bCs/>
          <w:color w:val="000000"/>
          <w:sz w:val="24"/>
        </w:rPr>
      </w:pPr>
      <w:r>
        <w:rPr>
          <w:color w:val="000000"/>
          <w:sz w:val="24"/>
        </w:rPr>
        <w:t>▲</w:t>
      </w:r>
      <w:r>
        <w:rPr>
          <w:b/>
          <w:color w:val="000000"/>
          <w:kern w:val="0"/>
          <w:sz w:val="24"/>
        </w:rPr>
        <w:t>3.</w:t>
      </w:r>
      <w:r>
        <w:rPr>
          <w:b/>
          <w:color w:val="000000"/>
          <w:sz w:val="24"/>
        </w:rPr>
        <w:t>本项目如需委托第三方进行进口代理，所产生的相关费用由投标方全额承担,要求由我校定点进口代理单位实施。</w:t>
      </w:r>
    </w:p>
    <w:p>
      <w:pPr>
        <w:spacing w:line="360" w:lineRule="auto"/>
        <w:ind w:firstLine="482" w:firstLineChars="200"/>
        <w:rPr>
          <w:b/>
          <w:color w:val="000000"/>
          <w:kern w:val="0"/>
          <w:sz w:val="24"/>
        </w:rPr>
      </w:pPr>
      <w:r>
        <w:rPr>
          <w:b/>
          <w:color w:val="000000"/>
          <w:kern w:val="0"/>
          <w:sz w:val="24"/>
        </w:rPr>
        <w:t>4.本项目为交钥匙工程，所有运输、包装、搬运、安装、调试、培训等相关费用由中标方承担，设备安装到位后如发现有其它硬件或软件缺失，造成设备无法正常运行及功能不全，由中标方免费配齐。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b/>
          <w:color w:val="000000"/>
          <w:sz w:val="24"/>
        </w:rPr>
      </w:pPr>
      <w:r>
        <w:rPr>
          <w:b/>
          <w:color w:val="000000"/>
          <w:kern w:val="0"/>
          <w:sz w:val="24"/>
        </w:rPr>
        <w:t>5.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80" w:lineRule="exact"/>
        <w:ind w:firstLine="482" w:firstLineChars="200"/>
        <w:rPr>
          <w:rFonts w:ascii="宋体" w:hAnsi="宋体"/>
          <w:b/>
          <w:color w:val="000000"/>
          <w:sz w:val="24"/>
        </w:rPr>
      </w:pPr>
    </w:p>
    <w:p>
      <w:pPr>
        <w:spacing w:line="380" w:lineRule="exact"/>
        <w:ind w:firstLine="482" w:firstLineChars="200"/>
        <w:rPr>
          <w:rFonts w:ascii="宋体" w:hAnsi="宋体"/>
          <w:b/>
          <w:color w:val="000000"/>
          <w:sz w:val="24"/>
        </w:rPr>
      </w:pPr>
    </w:p>
    <w:p>
      <w:pPr>
        <w:spacing w:line="380" w:lineRule="exact"/>
        <w:ind w:firstLine="482" w:firstLineChars="200"/>
        <w:rPr>
          <w:rFonts w:ascii="宋体" w:hAnsi="宋体"/>
          <w:b/>
          <w:color w:val="000000"/>
          <w:sz w:val="24"/>
        </w:rPr>
      </w:pPr>
    </w:p>
    <w:p>
      <w:pPr>
        <w:spacing w:line="380" w:lineRule="exact"/>
        <w:ind w:firstLine="482" w:firstLineChars="200"/>
        <w:rPr>
          <w:rFonts w:ascii="宋体" w:hAnsi="宋体"/>
          <w:b/>
          <w:color w:val="000000"/>
          <w:sz w:val="24"/>
        </w:rPr>
      </w:pPr>
    </w:p>
    <w:p>
      <w:pPr>
        <w:spacing w:line="380" w:lineRule="exact"/>
        <w:ind w:firstLine="482" w:firstLineChars="200"/>
        <w:rPr>
          <w:rFonts w:ascii="宋体" w:hAnsi="宋体"/>
          <w:b/>
          <w:color w:val="000000"/>
          <w:sz w:val="24"/>
        </w:rPr>
      </w:pPr>
    </w:p>
    <w:p>
      <w:pPr>
        <w:spacing w:line="360" w:lineRule="auto"/>
        <w:ind w:firstLine="482" w:firstLineChars="200"/>
        <w:jc w:val="left"/>
        <w:rPr>
          <w:rFonts w:ascii="宋体" w:hAnsi="宋体"/>
          <w:b/>
          <w:color w:val="000000"/>
          <w:kern w:val="0"/>
          <w:sz w:val="24"/>
        </w:rPr>
      </w:pPr>
    </w:p>
    <w:p>
      <w:pPr>
        <w:spacing w:line="360" w:lineRule="auto"/>
        <w:jc w:val="center"/>
        <w:rPr>
          <w:rFonts w:ascii="宋体" w:hAnsi="宋体"/>
          <w:b/>
          <w:bCs/>
          <w:color w:val="000000"/>
          <w:sz w:val="24"/>
        </w:rPr>
      </w:pPr>
      <w:r>
        <w:rPr>
          <w:rFonts w:ascii="宋体" w:hAnsi="宋体"/>
          <w:b/>
          <w:color w:val="000000"/>
          <w:sz w:val="24"/>
        </w:rPr>
        <w:br w:type="page"/>
      </w:r>
      <w:r>
        <w:rPr>
          <w:rFonts w:hint="eastAsia" w:ascii="宋体" w:hAnsi="宋体"/>
          <w:b/>
          <w:color w:val="000000"/>
          <w:sz w:val="32"/>
        </w:rPr>
        <w:t>第四章  合同主要条款</w:t>
      </w:r>
    </w:p>
    <w:p>
      <w:pPr>
        <w:spacing w:line="360" w:lineRule="auto"/>
        <w:jc w:val="center"/>
        <w:rPr>
          <w:rFonts w:ascii="宋体" w:hAnsi="宋体"/>
          <w:b/>
          <w:color w:val="000000"/>
          <w:sz w:val="24"/>
        </w:rPr>
      </w:pPr>
      <w:r>
        <w:rPr>
          <w:rFonts w:hint="eastAsia" w:ascii="宋体" w:hAnsi="宋体"/>
          <w:b/>
          <w:bCs/>
          <w:color w:val="000000"/>
          <w:sz w:val="24"/>
        </w:rPr>
        <w:t>机器人基础训练实验设备</w:t>
      </w:r>
      <w:r>
        <w:rPr>
          <w:rFonts w:hint="eastAsia" w:ascii="宋体" w:hAnsi="宋体"/>
          <w:b/>
          <w:color w:val="000000"/>
          <w:sz w:val="24"/>
        </w:rPr>
        <w:t>采购合同</w:t>
      </w:r>
    </w:p>
    <w:p>
      <w:pPr>
        <w:spacing w:line="360" w:lineRule="auto"/>
        <w:rPr>
          <w:rFonts w:ascii="宋体" w:hAnsi="宋体"/>
          <w:color w:val="000000"/>
          <w:sz w:val="24"/>
        </w:rPr>
      </w:pPr>
      <w:r>
        <w:rPr>
          <w:rFonts w:hint="eastAsia" w:ascii="宋体" w:hAnsi="宋体"/>
          <w:color w:val="000000"/>
          <w:sz w:val="24"/>
        </w:rPr>
        <w:t>甲  方：衢州学院</w:t>
      </w:r>
      <w:r>
        <w:rPr>
          <w:rFonts w:ascii="宋体" w:hAnsi="宋体"/>
          <w:color w:val="000000"/>
          <w:sz w:val="24"/>
        </w:rPr>
        <w:t xml:space="preserve">                   </w:t>
      </w:r>
      <w:r>
        <w:rPr>
          <w:rFonts w:hint="eastAsia" w:ascii="宋体" w:hAnsi="宋体"/>
          <w:color w:val="000000"/>
          <w:sz w:val="24"/>
        </w:rPr>
        <w:t xml:space="preserve">  乙</w:t>
      </w:r>
      <w:r>
        <w:rPr>
          <w:rFonts w:ascii="宋体" w:hAnsi="宋体"/>
          <w:color w:val="000000"/>
          <w:sz w:val="24"/>
        </w:rPr>
        <w:t xml:space="preserve">  </w:t>
      </w:r>
      <w:r>
        <w:rPr>
          <w:rFonts w:hint="eastAsia" w:ascii="宋体" w:hAnsi="宋体"/>
          <w:color w:val="000000"/>
          <w:sz w:val="24"/>
        </w:rPr>
        <w:t>方：</w:t>
      </w:r>
    </w:p>
    <w:p>
      <w:pPr>
        <w:spacing w:line="360" w:lineRule="auto"/>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hint="eastAsia" w:ascii="宋体" w:hAnsi="宋体"/>
          <w:bCs/>
          <w:color w:val="000000"/>
          <w:sz w:val="24"/>
        </w:rPr>
        <w:t>衢州市九华北大道</w:t>
      </w:r>
      <w:r>
        <w:rPr>
          <w:rFonts w:ascii="宋体" w:hAnsi="宋体"/>
          <w:bCs/>
          <w:color w:val="000000"/>
          <w:sz w:val="24"/>
        </w:rPr>
        <w:t>78</w:t>
      </w:r>
      <w:r>
        <w:rPr>
          <w:rFonts w:hint="eastAsia" w:ascii="宋体" w:hAnsi="宋体"/>
          <w:bCs/>
          <w:color w:val="000000"/>
          <w:sz w:val="24"/>
        </w:rPr>
        <w:t>号</w:t>
      </w:r>
      <w:r>
        <w:rPr>
          <w:rFonts w:ascii="宋体" w:hAnsi="宋体"/>
          <w:color w:val="000000"/>
          <w:sz w:val="24"/>
        </w:rPr>
        <w:t xml:space="preserve">      </w:t>
      </w:r>
      <w:r>
        <w:rPr>
          <w:rFonts w:hint="eastAsia" w:ascii="宋体" w:hAnsi="宋体"/>
          <w:color w:val="000000"/>
          <w:sz w:val="24"/>
        </w:rPr>
        <w:t xml:space="preserve">  地</w:t>
      </w:r>
      <w:r>
        <w:rPr>
          <w:rFonts w:ascii="宋体" w:hAnsi="宋体"/>
          <w:color w:val="000000"/>
          <w:sz w:val="24"/>
        </w:rPr>
        <w:t xml:space="preserve">  </w:t>
      </w:r>
      <w:r>
        <w:rPr>
          <w:rFonts w:hint="eastAsia" w:ascii="宋体" w:hAnsi="宋体"/>
          <w:color w:val="000000"/>
          <w:sz w:val="24"/>
        </w:rPr>
        <w:t>址：</w:t>
      </w:r>
    </w:p>
    <w:p>
      <w:pPr>
        <w:spacing w:line="360" w:lineRule="auto"/>
        <w:rPr>
          <w:rFonts w:ascii="宋体" w:hAnsi="宋体"/>
          <w:color w:val="000000"/>
          <w:sz w:val="24"/>
        </w:rPr>
      </w:pP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r>
        <w:rPr>
          <w:rFonts w:ascii="宋体" w:hAnsi="宋体"/>
          <w:color w:val="000000"/>
          <w:sz w:val="24"/>
        </w:rPr>
        <w:t xml:space="preserve">324000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p>
    <w:p>
      <w:pPr>
        <w:spacing w:line="360" w:lineRule="auto"/>
        <w:rPr>
          <w:rFonts w:ascii="宋体" w:hAnsi="宋体"/>
          <w:color w:val="000000"/>
          <w:sz w:val="24"/>
        </w:rPr>
      </w:pPr>
      <w:r>
        <w:rPr>
          <w:rFonts w:hint="eastAsia" w:ascii="宋体" w:hAnsi="宋体"/>
          <w:color w:val="000000"/>
          <w:sz w:val="24"/>
        </w:rPr>
        <w:t>联系人：</w:t>
      </w:r>
      <w:r>
        <w:rPr>
          <w:rFonts w:ascii="宋体" w:hAnsi="宋体"/>
          <w:color w:val="000000"/>
          <w:sz w:val="24"/>
        </w:rPr>
        <w:t xml:space="preserve">                           </w:t>
      </w:r>
      <w:r>
        <w:rPr>
          <w:rFonts w:hint="eastAsia" w:ascii="宋体" w:hAnsi="宋体"/>
          <w:color w:val="000000"/>
          <w:sz w:val="24"/>
        </w:rPr>
        <w:t xml:space="preserve">  联系人：</w:t>
      </w:r>
    </w:p>
    <w:p>
      <w:pPr>
        <w:spacing w:line="360" w:lineRule="auto"/>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 xml:space="preserve">  电</w:t>
      </w:r>
      <w:r>
        <w:rPr>
          <w:rFonts w:ascii="宋体" w:hAnsi="宋体"/>
          <w:color w:val="000000"/>
          <w:sz w:val="24"/>
        </w:rPr>
        <w:t xml:space="preserve">  </w:t>
      </w:r>
      <w:r>
        <w:rPr>
          <w:rFonts w:hint="eastAsia" w:ascii="宋体" w:hAnsi="宋体"/>
          <w:color w:val="000000"/>
          <w:sz w:val="24"/>
        </w:rPr>
        <w:t>话：</w:t>
      </w:r>
    </w:p>
    <w:p>
      <w:pPr>
        <w:spacing w:line="360" w:lineRule="auto"/>
        <w:jc w:val="right"/>
        <w:rPr>
          <w:rFonts w:ascii="宋体" w:hAnsi="宋体"/>
          <w:color w:val="000000"/>
          <w:sz w:val="24"/>
        </w:rPr>
      </w:pPr>
      <w:r>
        <w:rPr>
          <w:rFonts w:hint="eastAsia" w:ascii="宋体" w:hAnsi="宋体"/>
          <w:color w:val="000000"/>
          <w:sz w:val="24"/>
        </w:rPr>
        <w:t>签约地点：浙江衢州</w:t>
      </w:r>
    </w:p>
    <w:p>
      <w:pPr>
        <w:spacing w:line="360" w:lineRule="auto"/>
        <w:ind w:firstLine="482" w:firstLineChars="200"/>
        <w:rPr>
          <w:rFonts w:ascii="宋体" w:hAnsi="宋体"/>
          <w:b/>
          <w:color w:val="000000"/>
          <w:sz w:val="24"/>
        </w:rPr>
      </w:pPr>
      <w:r>
        <w:rPr>
          <w:rFonts w:hint="eastAsia" w:ascii="宋体" w:hAnsi="宋体"/>
          <w:b/>
          <w:color w:val="000000"/>
          <w:sz w:val="24"/>
        </w:rPr>
        <w:t>一、说  明</w:t>
      </w:r>
    </w:p>
    <w:p>
      <w:pPr>
        <w:pStyle w:val="15"/>
        <w:spacing w:before="0" w:beforeAutospacing="0" w:after="0" w:afterAutospacing="0" w:line="360" w:lineRule="auto"/>
        <w:ind w:firstLine="480" w:firstLineChars="200"/>
        <w:rPr>
          <w:color w:val="000000"/>
          <w:kern w:val="2"/>
        </w:rPr>
      </w:pPr>
      <w:r>
        <w:rPr>
          <w:color w:val="000000"/>
          <w:kern w:val="2"/>
        </w:rPr>
        <w:t>1.依据《中华人民共和国合同法》的规定，现就甲方向乙方购买</w:t>
      </w:r>
      <w:r>
        <w:rPr>
          <w:rFonts w:hint="eastAsia"/>
          <w:b/>
          <w:bCs/>
          <w:color w:val="000000"/>
        </w:rPr>
        <w:t>机器人基础训练实验设备</w:t>
      </w:r>
      <w:r>
        <w:rPr>
          <w:rFonts w:hint="eastAsia"/>
          <w:color w:val="000000"/>
          <w:kern w:val="2"/>
        </w:rPr>
        <w:t>一批</w:t>
      </w:r>
      <w:r>
        <w:rPr>
          <w:color w:val="000000"/>
          <w:kern w:val="2"/>
        </w:rPr>
        <w:t>，经双方协商一致本着平等自愿的原则签订本合同。</w:t>
      </w:r>
    </w:p>
    <w:p>
      <w:pPr>
        <w:pStyle w:val="15"/>
        <w:spacing w:before="0" w:beforeAutospacing="0" w:after="0" w:afterAutospacing="0" w:line="360" w:lineRule="auto"/>
        <w:ind w:firstLine="480" w:firstLineChars="200"/>
        <w:rPr>
          <w:color w:val="000000"/>
          <w:kern w:val="2"/>
        </w:rPr>
      </w:pPr>
      <w:r>
        <w:rPr>
          <w:color w:val="000000"/>
          <w:kern w:val="2"/>
        </w:rPr>
        <w:t>2.招标文件，投标文件，评标文件</w:t>
      </w:r>
      <w:r>
        <w:rPr>
          <w:rFonts w:hint="eastAsia"/>
          <w:color w:val="000000"/>
          <w:kern w:val="2"/>
        </w:rPr>
        <w:t>,</w:t>
      </w:r>
      <w:r>
        <w:rPr>
          <w:color w:val="000000"/>
          <w:kern w:val="2"/>
        </w:rPr>
        <w:t>乙方的承诺书均为本合同的附件，与本合同具有同等效力，在本合同无约定或约定不明时均</w:t>
      </w:r>
      <w:r>
        <w:rPr>
          <w:rFonts w:hint="eastAsia"/>
          <w:color w:val="000000"/>
          <w:kern w:val="2"/>
        </w:rPr>
        <w:t>按照</w:t>
      </w:r>
      <w:r>
        <w:rPr>
          <w:color w:val="000000"/>
          <w:kern w:val="2"/>
        </w:rPr>
        <w:t>执行。</w:t>
      </w:r>
    </w:p>
    <w:p>
      <w:pPr>
        <w:pStyle w:val="15"/>
        <w:spacing w:before="0" w:beforeAutospacing="0" w:after="0" w:afterAutospacing="0" w:line="360" w:lineRule="auto"/>
        <w:ind w:firstLine="480" w:firstLineChars="200"/>
        <w:rPr>
          <w:color w:val="000000"/>
          <w:kern w:val="2"/>
        </w:rPr>
      </w:pPr>
      <w:r>
        <w:rPr>
          <w:rFonts w:hint="eastAsia"/>
          <w:color w:val="000000"/>
          <w:kern w:val="2"/>
        </w:rPr>
        <w:t>3.乙方履约时应遵循疫情期间相关管理规定。</w:t>
      </w:r>
    </w:p>
    <w:p>
      <w:pPr>
        <w:spacing w:line="360" w:lineRule="auto"/>
        <w:ind w:firstLine="480" w:firstLineChars="200"/>
        <w:rPr>
          <w:rFonts w:ascii="宋体" w:hAnsi="宋体"/>
          <w:color w:val="000000"/>
          <w:sz w:val="24"/>
        </w:rPr>
      </w:pPr>
      <w:r>
        <w:rPr>
          <w:rFonts w:hint="eastAsia" w:ascii="宋体" w:hAnsi="宋体"/>
          <w:color w:val="000000"/>
          <w:sz w:val="24"/>
        </w:rPr>
        <w:t>4.采购商品清单及价格</w:t>
      </w:r>
    </w:p>
    <w:p>
      <w:pPr>
        <w:spacing w:line="360" w:lineRule="auto"/>
        <w:jc w:val="right"/>
        <w:rPr>
          <w:rFonts w:ascii="宋体" w:hAnsi="宋体"/>
          <w:color w:val="000000"/>
          <w:sz w:val="24"/>
        </w:rPr>
      </w:pPr>
      <w:r>
        <w:rPr>
          <w:rFonts w:hint="eastAsia" w:ascii="宋体" w:hAnsi="宋体"/>
          <w:color w:val="000000"/>
          <w:sz w:val="24"/>
        </w:rPr>
        <w:t xml:space="preserve">金额单位：元 </w:t>
      </w:r>
    </w:p>
    <w:tbl>
      <w:tblPr>
        <w:tblStyle w:val="16"/>
        <w:tblW w:w="886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2638"/>
        <w:gridCol w:w="906"/>
        <w:gridCol w:w="709"/>
        <w:gridCol w:w="708"/>
        <w:gridCol w:w="763"/>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27" w:type="dxa"/>
            <w:vAlign w:val="center"/>
          </w:tcPr>
          <w:p>
            <w:pPr>
              <w:pStyle w:val="10"/>
              <w:snapToGrid w:val="0"/>
              <w:spacing w:line="360" w:lineRule="auto"/>
              <w:ind w:left="-108" w:firstLine="494"/>
              <w:jc w:val="center"/>
              <w:rPr>
                <w:rFonts w:hAnsi="宋体"/>
                <w:color w:val="000000"/>
                <w:sz w:val="24"/>
                <w:szCs w:val="24"/>
              </w:rPr>
            </w:pPr>
            <w:r>
              <w:rPr>
                <w:rFonts w:hint="eastAsia" w:hAnsi="宋体"/>
                <w:color w:val="000000"/>
                <w:sz w:val="24"/>
                <w:szCs w:val="24"/>
              </w:rPr>
              <w:t>商品名称</w:t>
            </w:r>
          </w:p>
        </w:tc>
        <w:tc>
          <w:tcPr>
            <w:tcW w:w="2638" w:type="dxa"/>
            <w:vAlign w:val="center"/>
          </w:tcPr>
          <w:p>
            <w:pPr>
              <w:pStyle w:val="10"/>
              <w:snapToGrid w:val="0"/>
              <w:spacing w:line="360" w:lineRule="auto"/>
              <w:ind w:left="-108" w:firstLine="494"/>
              <w:jc w:val="center"/>
              <w:rPr>
                <w:rFonts w:hAnsi="宋体"/>
                <w:color w:val="000000"/>
                <w:sz w:val="24"/>
                <w:szCs w:val="24"/>
              </w:rPr>
            </w:pPr>
            <w:r>
              <w:rPr>
                <w:rFonts w:hint="eastAsia" w:hAnsi="宋体"/>
                <w:color w:val="000000"/>
                <w:sz w:val="24"/>
                <w:szCs w:val="24"/>
              </w:rPr>
              <w:t>规格型号及配置</w:t>
            </w:r>
          </w:p>
        </w:tc>
        <w:tc>
          <w:tcPr>
            <w:tcW w:w="906" w:type="dxa"/>
            <w:vAlign w:val="center"/>
          </w:tcPr>
          <w:p>
            <w:pPr>
              <w:pStyle w:val="10"/>
              <w:snapToGrid w:val="0"/>
              <w:spacing w:line="360" w:lineRule="auto"/>
              <w:rPr>
                <w:rFonts w:hAnsi="宋体"/>
                <w:color w:val="000000"/>
                <w:sz w:val="24"/>
                <w:szCs w:val="24"/>
              </w:rPr>
            </w:pPr>
            <w:r>
              <w:rPr>
                <w:rFonts w:hint="eastAsia" w:hAnsi="宋体"/>
                <w:color w:val="000000"/>
                <w:sz w:val="24"/>
                <w:szCs w:val="24"/>
              </w:rPr>
              <w:t>生产</w:t>
            </w:r>
          </w:p>
          <w:p>
            <w:pPr>
              <w:pStyle w:val="10"/>
              <w:snapToGrid w:val="0"/>
              <w:spacing w:line="360" w:lineRule="auto"/>
              <w:rPr>
                <w:rFonts w:hAnsi="宋体"/>
                <w:color w:val="000000"/>
                <w:sz w:val="24"/>
                <w:szCs w:val="24"/>
              </w:rPr>
            </w:pPr>
            <w:r>
              <w:rPr>
                <w:rFonts w:hint="eastAsia" w:hAnsi="宋体"/>
                <w:color w:val="000000"/>
                <w:sz w:val="24"/>
                <w:szCs w:val="24"/>
              </w:rPr>
              <w:t>产家</w:t>
            </w:r>
          </w:p>
        </w:tc>
        <w:tc>
          <w:tcPr>
            <w:tcW w:w="709" w:type="dxa"/>
            <w:vAlign w:val="center"/>
          </w:tcPr>
          <w:p>
            <w:pPr>
              <w:pStyle w:val="10"/>
              <w:snapToGrid w:val="0"/>
              <w:spacing w:line="360" w:lineRule="auto"/>
              <w:ind w:left="-108"/>
              <w:rPr>
                <w:rFonts w:hAnsi="宋体"/>
                <w:color w:val="000000"/>
                <w:sz w:val="24"/>
                <w:szCs w:val="24"/>
              </w:rPr>
            </w:pPr>
            <w:r>
              <w:rPr>
                <w:rFonts w:hint="eastAsia" w:hAnsi="宋体"/>
                <w:color w:val="000000"/>
                <w:sz w:val="24"/>
                <w:szCs w:val="24"/>
              </w:rPr>
              <w:t>数量</w:t>
            </w:r>
          </w:p>
        </w:tc>
        <w:tc>
          <w:tcPr>
            <w:tcW w:w="708" w:type="dxa"/>
            <w:vAlign w:val="center"/>
          </w:tcPr>
          <w:p>
            <w:pPr>
              <w:pStyle w:val="10"/>
              <w:snapToGrid w:val="0"/>
              <w:spacing w:line="360" w:lineRule="auto"/>
              <w:rPr>
                <w:rFonts w:hAnsi="宋体"/>
                <w:color w:val="000000"/>
                <w:sz w:val="24"/>
                <w:szCs w:val="24"/>
              </w:rPr>
            </w:pPr>
            <w:r>
              <w:rPr>
                <w:rFonts w:hint="eastAsia" w:hAnsi="宋体"/>
                <w:color w:val="000000"/>
                <w:sz w:val="24"/>
                <w:szCs w:val="24"/>
              </w:rPr>
              <w:t>单位</w:t>
            </w:r>
          </w:p>
        </w:tc>
        <w:tc>
          <w:tcPr>
            <w:tcW w:w="763" w:type="dxa"/>
            <w:vAlign w:val="center"/>
          </w:tcPr>
          <w:p>
            <w:pPr>
              <w:pStyle w:val="10"/>
              <w:snapToGrid w:val="0"/>
              <w:spacing w:line="360" w:lineRule="auto"/>
              <w:rPr>
                <w:rFonts w:hAnsi="宋体"/>
                <w:color w:val="000000"/>
                <w:sz w:val="24"/>
                <w:szCs w:val="24"/>
              </w:rPr>
            </w:pPr>
            <w:r>
              <w:rPr>
                <w:rFonts w:hint="eastAsia" w:hAnsi="宋体"/>
                <w:color w:val="000000"/>
                <w:sz w:val="24"/>
                <w:szCs w:val="24"/>
              </w:rPr>
              <w:t>单价</w:t>
            </w:r>
          </w:p>
        </w:tc>
        <w:tc>
          <w:tcPr>
            <w:tcW w:w="715" w:type="dxa"/>
            <w:vAlign w:val="center"/>
          </w:tcPr>
          <w:p>
            <w:pPr>
              <w:pStyle w:val="10"/>
              <w:snapToGrid w:val="0"/>
              <w:spacing w:line="360" w:lineRule="auto"/>
              <w:rPr>
                <w:rFonts w:hAnsi="宋体"/>
                <w:color w:val="000000"/>
                <w:sz w:val="24"/>
                <w:szCs w:val="24"/>
              </w:rPr>
            </w:pPr>
            <w:r>
              <w:rPr>
                <w:rFonts w:hint="eastAsia" w:hAnsi="宋体"/>
                <w:color w:val="00000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pStyle w:val="4"/>
              <w:shd w:val="clear" w:color="auto" w:fill="FFFFFF"/>
              <w:spacing w:before="0" w:beforeAutospacing="0" w:after="0" w:afterAutospacing="0" w:line="360" w:lineRule="auto"/>
              <w:rPr>
                <w:rFonts w:cs="Times New Roman"/>
                <w:b w:val="0"/>
                <w:bCs w:val="0"/>
                <w:color w:val="000000"/>
                <w:kern w:val="2"/>
                <w:sz w:val="24"/>
                <w:szCs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971" w:type="dxa"/>
            <w:gridSpan w:val="3"/>
          </w:tcPr>
          <w:p>
            <w:pPr>
              <w:pStyle w:val="10"/>
              <w:snapToGrid w:val="0"/>
              <w:spacing w:line="360" w:lineRule="auto"/>
              <w:ind w:firstLine="494"/>
              <w:jc w:val="center"/>
              <w:rPr>
                <w:rFonts w:hAnsi="宋体"/>
                <w:color w:val="000000"/>
                <w:sz w:val="24"/>
                <w:szCs w:val="24"/>
              </w:rPr>
            </w:pPr>
            <w:r>
              <w:rPr>
                <w:rFonts w:hint="eastAsia" w:hAnsi="宋体"/>
                <w:color w:val="000000"/>
                <w:sz w:val="24"/>
                <w:szCs w:val="24"/>
              </w:rPr>
              <w:t>合   计</w:t>
            </w:r>
          </w:p>
        </w:tc>
        <w:tc>
          <w:tcPr>
            <w:tcW w:w="709" w:type="dxa"/>
          </w:tcPr>
          <w:p>
            <w:pPr>
              <w:pStyle w:val="10"/>
              <w:snapToGrid w:val="0"/>
              <w:spacing w:line="360" w:lineRule="auto"/>
              <w:ind w:firstLine="494"/>
              <w:jc w:val="center"/>
              <w:rPr>
                <w:rFonts w:hAnsi="宋体"/>
                <w:color w:val="000000"/>
                <w:sz w:val="24"/>
                <w:szCs w:val="24"/>
              </w:rPr>
            </w:pPr>
          </w:p>
        </w:tc>
        <w:tc>
          <w:tcPr>
            <w:tcW w:w="2186" w:type="dxa"/>
            <w:gridSpan w:val="3"/>
          </w:tcPr>
          <w:p>
            <w:pPr>
              <w:pStyle w:val="10"/>
              <w:snapToGrid w:val="0"/>
              <w:spacing w:line="360" w:lineRule="auto"/>
              <w:ind w:firstLine="494"/>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866" w:type="dxa"/>
            <w:gridSpan w:val="7"/>
          </w:tcPr>
          <w:p>
            <w:pPr>
              <w:pStyle w:val="10"/>
              <w:snapToGrid w:val="0"/>
              <w:spacing w:line="360" w:lineRule="auto"/>
              <w:ind w:firstLine="494"/>
              <w:rPr>
                <w:rFonts w:hAnsi="宋体"/>
                <w:color w:val="000000"/>
                <w:sz w:val="24"/>
                <w:szCs w:val="24"/>
              </w:rPr>
            </w:pPr>
            <w:r>
              <w:rPr>
                <w:rFonts w:hint="eastAsia" w:hAnsi="宋体"/>
                <w:color w:val="000000"/>
                <w:sz w:val="24"/>
                <w:szCs w:val="24"/>
              </w:rPr>
              <w:t>合同总价：（人民币）元整</w:t>
            </w:r>
          </w:p>
        </w:tc>
      </w:tr>
    </w:tbl>
    <w:p>
      <w:pPr>
        <w:pStyle w:val="10"/>
        <w:snapToGrid w:val="0"/>
        <w:spacing w:line="360" w:lineRule="auto"/>
        <w:ind w:left="-34" w:leftChars="-85" w:hanging="144" w:hangingChars="60"/>
        <w:rPr>
          <w:rFonts w:hAnsi="宋体"/>
          <w:color w:val="000000"/>
          <w:sz w:val="24"/>
        </w:rPr>
      </w:pPr>
      <w:r>
        <w:rPr>
          <w:rFonts w:hint="eastAsia" w:hAnsi="宋体"/>
          <w:color w:val="000000"/>
          <w:sz w:val="24"/>
        </w:rPr>
        <w:t xml:space="preserve">  注：（1）商品型号、数量、配置具体要求及使用单位地址等详见附件清单；</w:t>
      </w:r>
    </w:p>
    <w:p>
      <w:pPr>
        <w:spacing w:line="360" w:lineRule="auto"/>
        <w:ind w:firstLine="144" w:firstLineChars="60"/>
        <w:rPr>
          <w:rFonts w:ascii="宋体" w:hAnsi="宋体"/>
          <w:color w:val="000000"/>
          <w:sz w:val="24"/>
        </w:rPr>
      </w:pPr>
      <w:r>
        <w:rPr>
          <w:rFonts w:hint="eastAsia" w:ascii="宋体" w:hAnsi="宋体"/>
          <w:color w:val="000000"/>
          <w:sz w:val="24"/>
        </w:rPr>
        <w:t>（2）以上合同总价包括运费及安装调试费等。</w:t>
      </w:r>
    </w:p>
    <w:p>
      <w:pPr>
        <w:pStyle w:val="15"/>
        <w:spacing w:before="0" w:beforeAutospacing="0" w:after="0" w:afterAutospacing="0" w:line="360" w:lineRule="auto"/>
        <w:ind w:firstLine="482" w:firstLineChars="200"/>
        <w:rPr>
          <w:b/>
          <w:color w:val="000000"/>
          <w:kern w:val="2"/>
        </w:rPr>
      </w:pPr>
      <w:r>
        <w:rPr>
          <w:rFonts w:hint="eastAsia"/>
          <w:b/>
          <w:color w:val="000000"/>
          <w:kern w:val="2"/>
        </w:rPr>
        <w:t>二、产品条款</w:t>
      </w:r>
    </w:p>
    <w:p>
      <w:pPr>
        <w:pStyle w:val="15"/>
        <w:spacing w:before="0" w:beforeAutospacing="0" w:after="0" w:afterAutospacing="0" w:line="360" w:lineRule="auto"/>
        <w:ind w:firstLine="480" w:firstLineChars="200"/>
        <w:rPr>
          <w:color w:val="000000"/>
          <w:kern w:val="2"/>
        </w:rPr>
      </w:pPr>
      <w:r>
        <w:rPr>
          <w:rFonts w:hint="eastAsia"/>
          <w:color w:val="000000"/>
          <w:kern w:val="2"/>
        </w:rPr>
        <w:t>本合同没有约定的，</w:t>
      </w:r>
      <w:r>
        <w:rPr>
          <w:color w:val="000000"/>
          <w:kern w:val="2"/>
        </w:rPr>
        <w:t>甲、乙双方应严格按照招标文件、投标文件及评标专家组确认的产品技术要求、质量标准、数量和交货日期、书面承诺等</w:t>
      </w:r>
      <w:r>
        <w:rPr>
          <w:rFonts w:hint="eastAsia"/>
          <w:color w:val="000000"/>
          <w:kern w:val="2"/>
        </w:rPr>
        <w:t>执行</w:t>
      </w:r>
      <w:r>
        <w:rPr>
          <w:color w:val="000000"/>
          <w:kern w:val="2"/>
        </w:rPr>
        <w:t>。</w:t>
      </w:r>
    </w:p>
    <w:p>
      <w:pPr>
        <w:pStyle w:val="15"/>
        <w:spacing w:before="0" w:beforeAutospacing="0" w:after="0" w:afterAutospacing="0" w:line="360" w:lineRule="auto"/>
        <w:ind w:firstLine="482" w:firstLineChars="200"/>
        <w:jc w:val="both"/>
        <w:rPr>
          <w:b/>
          <w:color w:val="000000"/>
          <w:kern w:val="2"/>
        </w:rPr>
      </w:pPr>
      <w:r>
        <w:rPr>
          <w:rFonts w:hint="eastAsia"/>
          <w:b/>
          <w:color w:val="000000"/>
          <w:kern w:val="2"/>
        </w:rPr>
        <w:t>三、通知送达条款</w:t>
      </w:r>
    </w:p>
    <w:p>
      <w:pPr>
        <w:pStyle w:val="15"/>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1.甲方通知送达地址：浙江省衢州市柯城区九华北大道78号。</w:t>
      </w:r>
    </w:p>
    <w:p>
      <w:pPr>
        <w:pStyle w:val="15"/>
        <w:spacing w:before="0" w:beforeAutospacing="0" w:after="0" w:afterAutospacing="0" w:line="360" w:lineRule="auto"/>
        <w:ind w:firstLine="2520" w:firstLineChars="105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5"/>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2.乙方通知送达地址：</w:t>
      </w:r>
    </w:p>
    <w:p>
      <w:pPr>
        <w:pStyle w:val="15"/>
        <w:spacing w:before="0" w:beforeAutospacing="0" w:after="0" w:afterAutospacing="0" w:line="360" w:lineRule="auto"/>
        <w:ind w:firstLine="2520" w:firstLineChars="105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5"/>
        <w:spacing w:before="0" w:beforeAutospacing="0" w:after="0" w:afterAutospacing="0" w:line="360" w:lineRule="auto"/>
        <w:ind w:firstLine="480" w:firstLineChars="200"/>
        <w:rPr>
          <w:color w:val="000000"/>
          <w:kern w:val="2"/>
        </w:rPr>
      </w:pPr>
      <w:r>
        <w:rPr>
          <w:rFonts w:hint="eastAsia"/>
          <w:color w:val="000000"/>
          <w:kern w:val="2"/>
        </w:rPr>
        <w:t>3.甲方或乙方按照上述方式向对方发送函件或通知，不论对方是否签收或接收，书函自发送之日起三日、信息发送后即时即视为送达；双方确认，本送达方式亦为双方发生纠纷时法院的送达方式。</w:t>
      </w:r>
    </w:p>
    <w:p>
      <w:pPr>
        <w:pStyle w:val="15"/>
        <w:spacing w:before="0" w:beforeAutospacing="0" w:after="0" w:afterAutospacing="0" w:line="360" w:lineRule="auto"/>
        <w:ind w:firstLine="482" w:firstLineChars="200"/>
        <w:rPr>
          <w:b/>
          <w:color w:val="000000"/>
          <w:kern w:val="2"/>
        </w:rPr>
      </w:pPr>
      <w:r>
        <w:rPr>
          <w:rFonts w:hint="eastAsia"/>
          <w:b/>
          <w:color w:val="000000"/>
          <w:kern w:val="2"/>
        </w:rPr>
        <w:t>四、质量保证</w:t>
      </w:r>
    </w:p>
    <w:p>
      <w:pPr>
        <w:pStyle w:val="10"/>
        <w:snapToGrid w:val="0"/>
        <w:spacing w:line="360" w:lineRule="auto"/>
        <w:ind w:firstLine="480" w:firstLineChars="200"/>
        <w:rPr>
          <w:rFonts w:hAnsi="宋体"/>
          <w:color w:val="000000"/>
          <w:sz w:val="24"/>
          <w:szCs w:val="24"/>
        </w:rPr>
      </w:pPr>
      <w:r>
        <w:rPr>
          <w:rFonts w:hAnsi="宋体"/>
          <w:color w:val="000000"/>
          <w:sz w:val="24"/>
          <w:szCs w:val="24"/>
        </w:rPr>
        <w:t>1.本合同范围所列的产品均由乙方提供。乙方提供的产品必须是原厂的、全新的、未使用过的。所有产品必须有合格证、质保书等相关技术资料，未按上述要求提供产品，由乙方承担全部的经济损失和相关责任。</w:t>
      </w:r>
    </w:p>
    <w:p>
      <w:pPr>
        <w:pStyle w:val="10"/>
        <w:snapToGrid w:val="0"/>
        <w:spacing w:line="360" w:lineRule="auto"/>
        <w:ind w:firstLine="480" w:firstLineChars="200"/>
        <w:rPr>
          <w:rFonts w:hAnsi="宋体"/>
          <w:color w:val="000000"/>
          <w:sz w:val="24"/>
          <w:szCs w:val="24"/>
        </w:rPr>
      </w:pPr>
      <w:r>
        <w:rPr>
          <w:rFonts w:hAnsi="宋体"/>
          <w:color w:val="000000"/>
          <w:sz w:val="24"/>
          <w:szCs w:val="24"/>
        </w:rPr>
        <w:t>2.乙方提供的产品必须完全符合原厂质量检测标准和国家质量检测标准以及合同规定的质量规格和性能要求，同时为国家规定正规渠道进货的产品。</w:t>
      </w:r>
    </w:p>
    <w:p>
      <w:pPr>
        <w:pStyle w:val="10"/>
        <w:snapToGrid w:val="0"/>
        <w:spacing w:line="360" w:lineRule="auto"/>
        <w:ind w:firstLine="480" w:firstLineChars="200"/>
        <w:rPr>
          <w:rFonts w:hAnsi="宋体"/>
          <w:color w:val="000000"/>
          <w:sz w:val="24"/>
          <w:szCs w:val="24"/>
        </w:rPr>
      </w:pPr>
      <w:r>
        <w:rPr>
          <w:rFonts w:hAnsi="宋体"/>
          <w:color w:val="000000"/>
          <w:sz w:val="24"/>
          <w:szCs w:val="24"/>
        </w:rPr>
        <w:t>3.乙方提供对产品的质量保证期为现场安装验收合格之后36个月。如因甲方原因导致不能及时安装的，产品的质保期自到货之日起 1 个月后开始计算。质保期内乙方提供免费保修、技术支持和售后服务。</w:t>
      </w:r>
    </w:p>
    <w:p>
      <w:pPr>
        <w:pStyle w:val="10"/>
        <w:snapToGrid w:val="0"/>
        <w:spacing w:line="360" w:lineRule="auto"/>
        <w:ind w:firstLine="480" w:firstLineChars="200"/>
        <w:rPr>
          <w:rFonts w:hAnsi="宋体"/>
          <w:color w:val="000000"/>
          <w:sz w:val="24"/>
          <w:szCs w:val="24"/>
        </w:rPr>
      </w:pPr>
      <w:r>
        <w:rPr>
          <w:rFonts w:hAnsi="宋体"/>
          <w:color w:val="000000"/>
          <w:sz w:val="24"/>
          <w:szCs w:val="24"/>
        </w:rPr>
        <w:t>4.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w:t>
      </w:r>
      <w:r>
        <w:rPr>
          <w:rFonts w:hint="eastAsia" w:hAnsi="宋体"/>
          <w:color w:val="000000"/>
          <w:sz w:val="24"/>
          <w:szCs w:val="24"/>
        </w:rPr>
        <w:t>负责解决</w:t>
      </w:r>
      <w:r>
        <w:rPr>
          <w:rFonts w:hAnsi="宋体"/>
          <w:color w:val="000000"/>
          <w:sz w:val="24"/>
          <w:szCs w:val="24"/>
        </w:rPr>
        <w:t>并承担可能发生的一切法律责任和费用</w:t>
      </w:r>
      <w:r>
        <w:rPr>
          <w:rFonts w:hint="eastAsia" w:hAnsi="宋体"/>
          <w:color w:val="000000"/>
          <w:sz w:val="24"/>
          <w:szCs w:val="24"/>
        </w:rPr>
        <w:t>，如由此导致第三方向甲方索赔的，甲方可就该损失向乙方追偿</w:t>
      </w:r>
      <w:r>
        <w:rPr>
          <w:rFonts w:hAnsi="宋体"/>
          <w:color w:val="000000"/>
          <w:sz w:val="24"/>
          <w:szCs w:val="24"/>
        </w:rPr>
        <w:t>。</w:t>
      </w:r>
    </w:p>
    <w:p>
      <w:pPr>
        <w:pStyle w:val="15"/>
        <w:spacing w:before="0" w:beforeAutospacing="0" w:after="0" w:afterAutospacing="0" w:line="360" w:lineRule="auto"/>
        <w:ind w:firstLine="482" w:firstLineChars="200"/>
        <w:rPr>
          <w:b/>
          <w:color w:val="000000"/>
          <w:kern w:val="2"/>
        </w:rPr>
      </w:pPr>
      <w:r>
        <w:rPr>
          <w:rFonts w:hint="eastAsia"/>
          <w:b/>
          <w:color w:val="000000"/>
          <w:kern w:val="2"/>
        </w:rPr>
        <w:t>五、验收</w:t>
      </w:r>
    </w:p>
    <w:p>
      <w:pPr>
        <w:pStyle w:val="10"/>
        <w:widowControl w:val="0"/>
        <w:snapToGrid w:val="0"/>
        <w:spacing w:line="360" w:lineRule="auto"/>
        <w:ind w:firstLine="480" w:firstLineChars="200"/>
        <w:rPr>
          <w:rFonts w:hAnsi="宋体"/>
          <w:color w:val="000000"/>
          <w:sz w:val="24"/>
          <w:szCs w:val="24"/>
        </w:rPr>
      </w:pPr>
      <w:r>
        <w:rPr>
          <w:rFonts w:hAnsi="宋体"/>
          <w:color w:val="000000"/>
          <w:sz w:val="24"/>
          <w:szCs w:val="24"/>
        </w:rPr>
        <w:t>1.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w:t>
      </w:r>
    </w:p>
    <w:p>
      <w:pPr>
        <w:pStyle w:val="10"/>
        <w:widowControl w:val="0"/>
        <w:snapToGrid w:val="0"/>
        <w:spacing w:line="360" w:lineRule="auto"/>
        <w:ind w:firstLine="480" w:firstLineChars="200"/>
        <w:rPr>
          <w:rFonts w:hAnsi="宋体"/>
          <w:color w:val="000000"/>
          <w:sz w:val="24"/>
          <w:szCs w:val="24"/>
        </w:rPr>
      </w:pPr>
      <w:r>
        <w:rPr>
          <w:rFonts w:hAnsi="宋体"/>
          <w:color w:val="000000"/>
          <w:sz w:val="24"/>
          <w:szCs w:val="24"/>
        </w:rPr>
        <w:t>2.到货验收：乙方将所提供的产品全部运至甲方指定的交货地点，且在甲方收到乙方提供的到货通知后5天内，由甲乙双方依据合同中所规定的产品清单以及相关标准对产品的外观、规格、数量进行到货验收。若乙方应填而未填写清楚产品序列号或产品编号，甲方有权按无效清单拒绝验收；若发现与合同规定不符的，甲方有权拒绝接受；若乙方人员在验收期间经通知后不能按规定时间到场的，甲方可以单方进行验收</w:t>
      </w:r>
      <w:r>
        <w:rPr>
          <w:rFonts w:hint="eastAsia" w:hAnsi="宋体"/>
          <w:color w:val="000000"/>
          <w:sz w:val="24"/>
          <w:szCs w:val="24"/>
        </w:rPr>
        <w:t>，其验收结果乙方无条件认同。</w:t>
      </w:r>
    </w:p>
    <w:p>
      <w:pPr>
        <w:pStyle w:val="10"/>
        <w:snapToGrid w:val="0"/>
        <w:spacing w:line="360" w:lineRule="auto"/>
        <w:ind w:firstLine="480" w:firstLineChars="200"/>
        <w:rPr>
          <w:rFonts w:hAnsi="宋体"/>
          <w:color w:val="000000"/>
          <w:sz w:val="24"/>
          <w:szCs w:val="24"/>
        </w:rPr>
      </w:pPr>
      <w:r>
        <w:rPr>
          <w:rFonts w:hAnsi="宋体"/>
          <w:color w:val="000000"/>
          <w:sz w:val="24"/>
          <w:szCs w:val="24"/>
        </w:rPr>
        <w:t>3.安装验收：产品经到货验收通过且由乙方进行安装调试完毕后，由乙方协助甲方完成安装试运行验收。产品经安装验收合格次日起7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10"/>
        <w:snapToGrid w:val="0"/>
        <w:spacing w:line="360" w:lineRule="auto"/>
        <w:ind w:firstLine="480" w:firstLineChars="200"/>
        <w:jc w:val="both"/>
        <w:rPr>
          <w:rFonts w:hAnsi="宋体"/>
          <w:color w:val="000000"/>
          <w:sz w:val="24"/>
          <w:szCs w:val="24"/>
        </w:rPr>
      </w:pPr>
      <w:r>
        <w:rPr>
          <w:rFonts w:hint="eastAsia" w:hAnsi="宋体"/>
          <w:color w:val="000000"/>
          <w:sz w:val="24"/>
          <w:szCs w:val="24"/>
        </w:rPr>
        <w:t>4.</w:t>
      </w:r>
      <w:r>
        <w:rPr>
          <w:rFonts w:hAnsi="宋体"/>
          <w:color w:val="000000"/>
          <w:sz w:val="24"/>
          <w:szCs w:val="24"/>
        </w:rPr>
        <w:t>运行验收：运行验收在安装验收合格后</w:t>
      </w:r>
      <w:r>
        <w:rPr>
          <w:rFonts w:hint="eastAsia" w:hAnsi="宋体"/>
          <w:color w:val="000000"/>
          <w:sz w:val="24"/>
          <w:szCs w:val="24"/>
        </w:rPr>
        <w:t>两周内</w:t>
      </w:r>
      <w:r>
        <w:rPr>
          <w:rFonts w:hAnsi="宋体"/>
          <w:color w:val="000000"/>
          <w:sz w:val="24"/>
          <w:szCs w:val="24"/>
        </w:rPr>
        <w:t>组织实施。</w:t>
      </w:r>
    </w:p>
    <w:p>
      <w:pPr>
        <w:pStyle w:val="10"/>
        <w:snapToGrid w:val="0"/>
        <w:spacing w:line="360" w:lineRule="auto"/>
        <w:ind w:firstLine="480" w:firstLineChars="200"/>
        <w:rPr>
          <w:rFonts w:hAnsi="宋体"/>
          <w:color w:val="000000"/>
          <w:sz w:val="24"/>
          <w:szCs w:val="24"/>
        </w:rPr>
      </w:pPr>
      <w:r>
        <w:rPr>
          <w:rFonts w:hAnsi="宋体"/>
          <w:color w:val="000000"/>
          <w:sz w:val="24"/>
          <w:szCs w:val="24"/>
        </w:rPr>
        <w:t>5.如货物的质量、规格在质保期内被证明存在缺陷，包括潜在的缺陷或使用不合适的材料，甲方有权凭有关证明文件要求乙方在规定的时间内改进。</w:t>
      </w:r>
    </w:p>
    <w:p>
      <w:pPr>
        <w:pStyle w:val="15"/>
        <w:spacing w:before="0" w:beforeAutospacing="0" w:after="0" w:afterAutospacing="0" w:line="360" w:lineRule="auto"/>
        <w:ind w:firstLine="482" w:firstLineChars="200"/>
        <w:rPr>
          <w:b/>
          <w:color w:val="000000"/>
          <w:kern w:val="2"/>
        </w:rPr>
      </w:pPr>
      <w:r>
        <w:rPr>
          <w:rFonts w:hint="eastAsia"/>
          <w:b/>
          <w:color w:val="000000"/>
          <w:kern w:val="2"/>
        </w:rPr>
        <w:t>六、交付时间及地点</w:t>
      </w:r>
    </w:p>
    <w:p>
      <w:pPr>
        <w:pStyle w:val="8"/>
        <w:tabs>
          <w:tab w:val="left" w:pos="297"/>
        </w:tabs>
        <w:spacing w:after="0" w:line="360" w:lineRule="auto"/>
        <w:ind w:left="0" w:leftChars="0" w:firstLine="480" w:firstLineChars="200"/>
        <w:rPr>
          <w:rFonts w:ascii="宋体" w:hAnsi="宋体"/>
          <w:color w:val="000000"/>
          <w:sz w:val="24"/>
        </w:rPr>
      </w:pPr>
      <w:r>
        <w:rPr>
          <w:rFonts w:hint="eastAsia" w:ascii="宋体" w:hAnsi="宋体"/>
          <w:color w:val="000000"/>
          <w:sz w:val="24"/>
        </w:rPr>
        <w:t>1.</w:t>
      </w:r>
      <w:r>
        <w:rPr>
          <w:rFonts w:ascii="宋体" w:hAnsi="宋体"/>
          <w:color w:val="000000"/>
          <w:kern w:val="0"/>
          <w:sz w:val="24"/>
        </w:rPr>
        <w:t>合同签订后</w:t>
      </w:r>
      <w:r>
        <w:rPr>
          <w:rFonts w:ascii="宋体" w:hAnsi="宋体"/>
          <w:b/>
          <w:bCs/>
          <w:color w:val="000000" w:themeColor="text1"/>
          <w:kern w:val="0"/>
          <w:sz w:val="24"/>
          <w14:textFill>
            <w14:solidFill>
              <w14:schemeClr w14:val="tx1"/>
            </w14:solidFill>
          </w14:textFill>
        </w:rPr>
        <w:t>60天</w:t>
      </w:r>
      <w:r>
        <w:rPr>
          <w:rFonts w:ascii="宋体" w:hAnsi="宋体"/>
          <w:color w:val="000000"/>
          <w:kern w:val="0"/>
          <w:sz w:val="24"/>
        </w:rPr>
        <w:t>内完成供货</w:t>
      </w:r>
      <w:r>
        <w:rPr>
          <w:color w:val="000000"/>
          <w:sz w:val="24"/>
        </w:rPr>
        <w:t>（定制实验单元模块在3个月内完成供货）</w:t>
      </w:r>
      <w:r>
        <w:rPr>
          <w:rFonts w:hint="eastAsia" w:ascii="宋体" w:hAnsi="宋体"/>
          <w:color w:val="000000"/>
          <w:kern w:val="0"/>
          <w:sz w:val="24"/>
        </w:rPr>
        <w:t>、</w:t>
      </w:r>
      <w:r>
        <w:rPr>
          <w:rFonts w:ascii="宋体" w:hAnsi="宋体"/>
          <w:color w:val="000000"/>
          <w:kern w:val="0"/>
          <w:sz w:val="24"/>
        </w:rPr>
        <w:t>线路、设备安施和调试，交付采购方使用。</w:t>
      </w:r>
    </w:p>
    <w:p>
      <w:pPr>
        <w:spacing w:line="360" w:lineRule="auto"/>
        <w:ind w:firstLine="480" w:firstLineChars="200"/>
        <w:rPr>
          <w:rFonts w:ascii="宋体" w:hAnsi="宋体"/>
          <w:color w:val="000000"/>
          <w:sz w:val="24"/>
        </w:rPr>
      </w:pPr>
      <w:r>
        <w:rPr>
          <w:rFonts w:hint="eastAsia" w:ascii="宋体" w:hAnsi="宋体"/>
          <w:color w:val="000000"/>
          <w:sz w:val="24"/>
        </w:rPr>
        <w:t>2.乙方交付时向甲方提供上述产品的质量保证书、合格证、说明书及权威部门检测报告等文件。</w:t>
      </w:r>
    </w:p>
    <w:p>
      <w:pPr>
        <w:pStyle w:val="15"/>
        <w:spacing w:before="0" w:beforeAutospacing="0" w:after="0" w:afterAutospacing="0" w:line="360" w:lineRule="auto"/>
        <w:ind w:firstLine="482" w:firstLineChars="200"/>
        <w:rPr>
          <w:b/>
          <w:color w:val="000000"/>
          <w:kern w:val="2"/>
        </w:rPr>
      </w:pPr>
      <w:r>
        <w:rPr>
          <w:rFonts w:hint="eastAsia"/>
          <w:b/>
          <w:color w:val="000000"/>
          <w:kern w:val="2"/>
        </w:rPr>
        <w:t>七、付款方式</w:t>
      </w:r>
    </w:p>
    <w:p>
      <w:pPr>
        <w:spacing w:line="360" w:lineRule="auto"/>
        <w:ind w:firstLine="480" w:firstLineChars="200"/>
        <w:jc w:val="left"/>
        <w:rPr>
          <w:rFonts w:ascii="宋体" w:hAnsi="宋体"/>
          <w:color w:val="000000"/>
          <w:sz w:val="24"/>
        </w:rPr>
      </w:pPr>
      <w:r>
        <w:rPr>
          <w:rFonts w:hint="eastAsia" w:ascii="宋体" w:hAnsi="宋体"/>
          <w:color w:val="000000"/>
          <w:sz w:val="24"/>
        </w:rPr>
        <w:t>1.缴纳履约保证金后，分两次付款。在合同签订、人员进场工作一个月内支付合同总金额的30%，在项目完成并验收合格后10个工作日内支付合同余款。自验收合格之日起计壹年后履约保证金全额无息退还。</w:t>
      </w:r>
    </w:p>
    <w:p>
      <w:pPr>
        <w:spacing w:line="360" w:lineRule="auto"/>
        <w:ind w:firstLine="480" w:firstLineChars="200"/>
        <w:rPr>
          <w:rFonts w:ascii="宋体" w:hAnsi="宋体"/>
          <w:color w:val="000000"/>
          <w:sz w:val="24"/>
        </w:rPr>
      </w:pPr>
      <w:r>
        <w:rPr>
          <w:rFonts w:hint="eastAsia" w:ascii="宋体" w:hAnsi="宋体"/>
          <w:color w:val="000000"/>
          <w:sz w:val="24"/>
        </w:rPr>
        <w:t>2.由乙方开具正规的增值税专用发票。</w:t>
      </w:r>
    </w:p>
    <w:p>
      <w:pPr>
        <w:spacing w:line="360" w:lineRule="auto"/>
        <w:ind w:firstLine="720" w:firstLineChars="300"/>
        <w:rPr>
          <w:rFonts w:ascii="宋体" w:hAnsi="宋体"/>
          <w:color w:val="000000"/>
          <w:sz w:val="24"/>
        </w:rPr>
      </w:pPr>
      <w:r>
        <w:rPr>
          <w:rFonts w:hint="eastAsia" w:ascii="宋体" w:hAnsi="宋体"/>
          <w:color w:val="000000"/>
          <w:sz w:val="24"/>
        </w:rPr>
        <w:t>乙方银行账户信息：</w:t>
      </w:r>
    </w:p>
    <w:p>
      <w:pPr>
        <w:spacing w:line="360" w:lineRule="auto"/>
        <w:ind w:firstLine="480" w:firstLineChars="200"/>
        <w:rPr>
          <w:rFonts w:ascii="宋体" w:hAnsi="宋体"/>
          <w:color w:val="000000"/>
          <w:sz w:val="24"/>
        </w:rPr>
      </w:pPr>
      <w:r>
        <w:rPr>
          <w:rFonts w:hint="eastAsia" w:ascii="宋体" w:hAnsi="宋体"/>
          <w:color w:val="000000"/>
          <w:sz w:val="24"/>
        </w:rPr>
        <w:t xml:space="preserve">  开户银行：</w:t>
      </w:r>
    </w:p>
    <w:p>
      <w:pPr>
        <w:spacing w:line="360" w:lineRule="auto"/>
        <w:ind w:firstLine="480" w:firstLineChars="200"/>
        <w:rPr>
          <w:rFonts w:ascii="宋体" w:hAnsi="宋体"/>
          <w:color w:val="000000"/>
          <w:sz w:val="24"/>
        </w:rPr>
      </w:pPr>
      <w:r>
        <w:rPr>
          <w:rFonts w:hint="eastAsia" w:ascii="宋体" w:hAnsi="宋体"/>
          <w:color w:val="000000"/>
          <w:sz w:val="24"/>
        </w:rPr>
        <w:t xml:space="preserve">  户    名：</w:t>
      </w:r>
    </w:p>
    <w:p>
      <w:pPr>
        <w:spacing w:line="360" w:lineRule="auto"/>
        <w:ind w:firstLine="480" w:firstLineChars="200"/>
        <w:rPr>
          <w:rFonts w:ascii="宋体" w:hAnsi="宋体"/>
          <w:color w:val="000000"/>
          <w:sz w:val="24"/>
        </w:rPr>
      </w:pPr>
      <w:r>
        <w:rPr>
          <w:rFonts w:hint="eastAsia" w:ascii="宋体" w:hAnsi="宋体"/>
          <w:color w:val="000000"/>
          <w:sz w:val="24"/>
        </w:rPr>
        <w:t xml:space="preserve">  银行账号：</w:t>
      </w:r>
    </w:p>
    <w:p>
      <w:pPr>
        <w:pStyle w:val="15"/>
        <w:tabs>
          <w:tab w:val="right" w:pos="8312"/>
        </w:tabs>
        <w:spacing w:before="0" w:beforeAutospacing="0" w:after="0" w:afterAutospacing="0" w:line="360" w:lineRule="auto"/>
        <w:ind w:firstLine="482" w:firstLineChars="200"/>
        <w:rPr>
          <w:b/>
          <w:color w:val="000000"/>
          <w:kern w:val="2"/>
        </w:rPr>
      </w:pPr>
      <w:r>
        <w:rPr>
          <w:rFonts w:hint="eastAsia"/>
          <w:b/>
          <w:color w:val="000000"/>
          <w:kern w:val="2"/>
        </w:rPr>
        <w:t>八、违约责任</w:t>
      </w:r>
      <w:r>
        <w:rPr>
          <w:rFonts w:hint="eastAsia"/>
          <w:b/>
          <w:color w:val="000000"/>
          <w:kern w:val="2"/>
        </w:rPr>
        <w:tab/>
      </w:r>
    </w:p>
    <w:p>
      <w:pPr>
        <w:pStyle w:val="10"/>
        <w:snapToGrid w:val="0"/>
        <w:spacing w:line="360" w:lineRule="auto"/>
        <w:ind w:firstLine="480" w:firstLineChars="200"/>
        <w:rPr>
          <w:rFonts w:hAnsi="宋体"/>
          <w:color w:val="000000"/>
          <w:sz w:val="24"/>
          <w:szCs w:val="24"/>
        </w:rPr>
      </w:pPr>
      <w:r>
        <w:rPr>
          <w:rFonts w:hAnsi="宋体"/>
          <w:color w:val="000000"/>
          <w:sz w:val="24"/>
          <w:szCs w:val="24"/>
        </w:rPr>
        <w:t>1.乙方逾期履行合同包括逾期交货，逾期安装验收，逾期提供售后服务的，自逾期之日起，向甲方每日偿付合同总价</w:t>
      </w:r>
      <w:r>
        <w:rPr>
          <w:rFonts w:hint="eastAsia" w:hAnsi="宋体"/>
          <w:color w:val="000000"/>
          <w:sz w:val="24"/>
          <w:szCs w:val="24"/>
        </w:rPr>
        <w:t>千</w:t>
      </w:r>
      <w:r>
        <w:rPr>
          <w:rFonts w:hAnsi="宋体"/>
          <w:color w:val="000000"/>
          <w:sz w:val="24"/>
          <w:szCs w:val="24"/>
        </w:rPr>
        <w:t>分之二的滞纳金；乙方逾期30日不能交货的，甲方没收履约保证金，同时有权解除合同。</w:t>
      </w:r>
    </w:p>
    <w:p>
      <w:pPr>
        <w:pStyle w:val="10"/>
        <w:widowControl w:val="0"/>
        <w:snapToGrid w:val="0"/>
        <w:spacing w:line="360" w:lineRule="auto"/>
        <w:ind w:firstLine="480" w:firstLineChars="200"/>
        <w:rPr>
          <w:rFonts w:hAnsi="宋体"/>
          <w:color w:val="000000"/>
          <w:sz w:val="24"/>
          <w:szCs w:val="24"/>
        </w:rPr>
      </w:pPr>
      <w:r>
        <w:rPr>
          <w:rFonts w:hAnsi="宋体"/>
          <w:color w:val="000000"/>
          <w:sz w:val="24"/>
          <w:szCs w:val="24"/>
        </w:rPr>
        <w:t>2.因甲方原因逾期支付货款的，自逾期之日起，向乙方每日偿付合同总价</w:t>
      </w:r>
      <w:r>
        <w:rPr>
          <w:rFonts w:hint="eastAsia" w:hAnsi="宋体"/>
          <w:color w:val="000000"/>
          <w:sz w:val="24"/>
          <w:szCs w:val="24"/>
        </w:rPr>
        <w:t>千</w:t>
      </w:r>
      <w:r>
        <w:rPr>
          <w:rFonts w:hAnsi="宋体"/>
          <w:color w:val="000000"/>
          <w:sz w:val="24"/>
          <w:szCs w:val="24"/>
        </w:rPr>
        <w:t>分之二的滞纳金；甲方无正当理由拒付货款</w:t>
      </w:r>
      <w:r>
        <w:rPr>
          <w:rFonts w:hint="eastAsia" w:hAnsi="宋体"/>
          <w:color w:val="000000"/>
          <w:sz w:val="24"/>
          <w:szCs w:val="24"/>
        </w:rPr>
        <w:t>达30日以上的</w:t>
      </w:r>
      <w:r>
        <w:rPr>
          <w:rFonts w:hAnsi="宋体"/>
          <w:color w:val="000000"/>
          <w:sz w:val="24"/>
          <w:szCs w:val="24"/>
        </w:rPr>
        <w:t>，应向乙方偿付与履约保证金等额的违约金，同时承担合同付款责任。</w:t>
      </w:r>
    </w:p>
    <w:p>
      <w:pPr>
        <w:pStyle w:val="10"/>
        <w:widowControl w:val="0"/>
        <w:snapToGrid w:val="0"/>
        <w:spacing w:line="360" w:lineRule="auto"/>
        <w:ind w:firstLine="480" w:firstLineChars="200"/>
        <w:rPr>
          <w:rFonts w:hAnsi="宋体"/>
          <w:color w:val="000000"/>
          <w:sz w:val="24"/>
          <w:szCs w:val="24"/>
        </w:rPr>
      </w:pPr>
      <w:r>
        <w:rPr>
          <w:rFonts w:hAnsi="宋体"/>
          <w:color w:val="000000"/>
          <w:sz w:val="24"/>
          <w:szCs w:val="24"/>
        </w:rPr>
        <w:t>3.乙方在货物交付验收合格之日起三个月内违反本合同有关质量保证及售后服务承诺的，甲方有权不予支付余款；在货物交付验收合格之日起三个月后发生质量问题的，按售后服务承诺处理。</w:t>
      </w:r>
    </w:p>
    <w:p>
      <w:pPr>
        <w:pStyle w:val="10"/>
        <w:snapToGrid w:val="0"/>
        <w:spacing w:line="360" w:lineRule="auto"/>
        <w:ind w:firstLine="482" w:firstLineChars="200"/>
        <w:rPr>
          <w:rFonts w:hAnsi="宋体"/>
          <w:b/>
          <w:color w:val="000000"/>
          <w:sz w:val="24"/>
        </w:rPr>
      </w:pPr>
      <w:r>
        <w:rPr>
          <w:rFonts w:hint="eastAsia" w:hAnsi="宋体"/>
          <w:b/>
          <w:color w:val="000000"/>
          <w:sz w:val="24"/>
        </w:rPr>
        <w:t>九、不可抗力事件处理</w:t>
      </w:r>
    </w:p>
    <w:p>
      <w:pPr>
        <w:pStyle w:val="10"/>
        <w:snapToGrid w:val="0"/>
        <w:spacing w:line="360" w:lineRule="auto"/>
        <w:ind w:firstLine="480" w:firstLineChars="200"/>
        <w:rPr>
          <w:rFonts w:hAnsi="宋体"/>
          <w:color w:val="000000"/>
          <w:sz w:val="24"/>
        </w:rPr>
      </w:pPr>
      <w:r>
        <w:rPr>
          <w:rFonts w:hint="eastAsia" w:hAnsi="宋体"/>
          <w:color w:val="000000"/>
          <w:sz w:val="24"/>
        </w:rPr>
        <w:t>1.在履行合同期限内，任何一方因不可抗力事件所至不能履行合同，则合同履行期可延长，延长期与不可抗力影响期相同。</w:t>
      </w:r>
    </w:p>
    <w:p>
      <w:pPr>
        <w:pStyle w:val="10"/>
        <w:snapToGrid w:val="0"/>
        <w:spacing w:line="360" w:lineRule="auto"/>
        <w:ind w:firstLine="480" w:firstLineChars="200"/>
        <w:rPr>
          <w:rFonts w:hAnsi="宋体"/>
          <w:color w:val="000000"/>
          <w:sz w:val="24"/>
        </w:rPr>
      </w:pPr>
      <w:r>
        <w:rPr>
          <w:rFonts w:hint="eastAsia" w:hAnsi="宋体"/>
          <w:color w:val="000000"/>
          <w:sz w:val="24"/>
        </w:rPr>
        <w:t xml:space="preserve">2.不可抗力事件发生后，应立即通知对方，并寄送有关权威机构出具的证明。 </w:t>
      </w:r>
    </w:p>
    <w:p>
      <w:pPr>
        <w:pStyle w:val="10"/>
        <w:snapToGrid w:val="0"/>
        <w:spacing w:line="360" w:lineRule="auto"/>
        <w:ind w:firstLine="480" w:firstLineChars="200"/>
        <w:rPr>
          <w:rFonts w:hAnsi="宋体"/>
          <w:color w:val="000000"/>
          <w:sz w:val="24"/>
        </w:rPr>
      </w:pPr>
      <w:r>
        <w:rPr>
          <w:rFonts w:hint="eastAsia" w:hAnsi="宋体"/>
          <w:color w:val="000000"/>
          <w:sz w:val="24"/>
        </w:rPr>
        <w:t>3.不可抗力事件延续60天以上，双方应通过友好协商，确定是否继续履行合同，协商不成的，任何一方均有权解除合同。</w:t>
      </w:r>
    </w:p>
    <w:p>
      <w:pPr>
        <w:pStyle w:val="10"/>
        <w:snapToGrid w:val="0"/>
        <w:spacing w:line="360" w:lineRule="auto"/>
        <w:ind w:firstLine="482" w:firstLineChars="200"/>
        <w:rPr>
          <w:rFonts w:hAnsi="宋体"/>
          <w:b/>
          <w:color w:val="000000"/>
          <w:sz w:val="24"/>
        </w:rPr>
      </w:pPr>
      <w:r>
        <w:rPr>
          <w:rFonts w:hint="eastAsia" w:hAnsi="宋体"/>
          <w:b/>
          <w:color w:val="000000"/>
          <w:sz w:val="24"/>
        </w:rPr>
        <w:t>十、争议的解决</w:t>
      </w:r>
    </w:p>
    <w:p>
      <w:pPr>
        <w:pStyle w:val="21"/>
        <w:snapToGrid w:val="0"/>
        <w:spacing w:line="360" w:lineRule="auto"/>
        <w:ind w:firstLine="480" w:firstLineChars="200"/>
        <w:rPr>
          <w:rFonts w:hAnsi="宋体"/>
          <w:color w:val="000000"/>
          <w:sz w:val="24"/>
          <w:szCs w:val="22"/>
        </w:rPr>
      </w:pPr>
      <w:r>
        <w:rPr>
          <w:rFonts w:hAnsi="宋体"/>
          <w:color w:val="000000"/>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10"/>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10"/>
        <w:snapToGrid w:val="0"/>
        <w:spacing w:line="360" w:lineRule="auto"/>
        <w:ind w:firstLine="480" w:firstLineChars="200"/>
        <w:rPr>
          <w:rFonts w:hAnsi="宋体"/>
          <w:color w:val="000000"/>
          <w:sz w:val="24"/>
        </w:rPr>
      </w:pPr>
      <w:r>
        <w:rPr>
          <w:rFonts w:hAnsi="宋体"/>
          <w:color w:val="000000"/>
          <w:sz w:val="24"/>
        </w:rPr>
        <w:t>1.本合同经甲方、乙方法定代表人或其委托人签字并加盖双方公章后生效。</w:t>
      </w:r>
    </w:p>
    <w:p>
      <w:pPr>
        <w:pStyle w:val="15"/>
        <w:spacing w:before="0" w:beforeAutospacing="0" w:after="0" w:afterAutospacing="0" w:line="360" w:lineRule="auto"/>
        <w:ind w:firstLine="480" w:firstLineChars="200"/>
        <w:rPr>
          <w:color w:val="000000"/>
          <w:kern w:val="2"/>
          <w:szCs w:val="22"/>
        </w:rPr>
      </w:pPr>
      <w:r>
        <w:rPr>
          <w:color w:val="000000"/>
          <w:kern w:val="2"/>
          <w:szCs w:val="22"/>
        </w:rPr>
        <w:t>2.本合同一式伍份，甲、乙双方各执贰份，衢州市政府财政局采监处执壹份。</w:t>
      </w:r>
    </w:p>
    <w:p>
      <w:pPr>
        <w:spacing w:line="360" w:lineRule="auto"/>
        <w:rPr>
          <w:rFonts w:ascii="宋体" w:hAnsi="宋体"/>
          <w:color w:val="000000"/>
          <w:sz w:val="24"/>
          <w:szCs w:val="22"/>
        </w:rPr>
      </w:pPr>
      <w:r>
        <w:rPr>
          <w:rFonts w:ascii="宋体" w:hAnsi="宋体"/>
          <w:color w:val="000000"/>
          <w:sz w:val="24"/>
          <w:szCs w:val="22"/>
        </w:rPr>
        <w:t>　　甲方单位名称（公章）：　　 乙方单位名称（公章）：</w:t>
      </w:r>
    </w:p>
    <w:p>
      <w:pPr>
        <w:spacing w:line="360" w:lineRule="auto"/>
        <w:rPr>
          <w:rFonts w:ascii="宋体" w:hAnsi="宋体"/>
          <w:color w:val="000000"/>
          <w:sz w:val="24"/>
          <w:szCs w:val="22"/>
        </w:rPr>
      </w:pPr>
      <w:r>
        <w:rPr>
          <w:rFonts w:ascii="宋体" w:hAnsi="宋体"/>
          <w:color w:val="000000"/>
          <w:sz w:val="24"/>
          <w:szCs w:val="22"/>
        </w:rPr>
        <w:t>　　授权代表：　　　　　　   　授权代表：</w:t>
      </w:r>
    </w:p>
    <w:p>
      <w:pPr>
        <w:spacing w:line="360" w:lineRule="auto"/>
        <w:ind w:firstLine="480" w:firstLineChars="200"/>
        <w:jc w:val="right"/>
        <w:rPr>
          <w:rFonts w:ascii="宋体" w:hAnsi="宋体"/>
          <w:color w:val="000000"/>
          <w:sz w:val="24"/>
        </w:rPr>
      </w:pPr>
      <w:r>
        <w:rPr>
          <w:rFonts w:hint="eastAsia" w:ascii="宋体" w:hAnsi="宋体"/>
          <w:color w:val="000000"/>
          <w:sz w:val="24"/>
        </w:rPr>
        <w:t>合同签订日期：　年　月　日</w:t>
      </w:r>
    </w:p>
    <w:p>
      <w:pPr>
        <w:spacing w:line="360" w:lineRule="auto"/>
        <w:ind w:firstLine="480" w:firstLineChars="200"/>
        <w:jc w:val="left"/>
        <w:rPr>
          <w:rFonts w:ascii="宋体" w:hAnsi="宋体"/>
          <w:color w:val="000000"/>
          <w:sz w:val="24"/>
        </w:rPr>
      </w:pPr>
      <w:r>
        <w:rPr>
          <w:rFonts w:hint="eastAsia" w:ascii="宋体" w:hAnsi="宋体"/>
          <w:color w:val="000000"/>
          <w:sz w:val="24"/>
        </w:rPr>
        <w:t>本合同均为打印版本，未加盖甲方公章的手写部分无效。　　</w:t>
      </w:r>
    </w:p>
    <w:p>
      <w:pPr>
        <w:spacing w:line="360" w:lineRule="auto"/>
        <w:ind w:firstLine="640" w:firstLineChars="200"/>
        <w:jc w:val="center"/>
        <w:outlineLvl w:val="0"/>
        <w:rPr>
          <w:rFonts w:ascii="宋体" w:hAnsi="宋体"/>
          <w:color w:val="000000"/>
          <w:sz w:val="32"/>
        </w:rPr>
      </w:pPr>
    </w:p>
    <w:p>
      <w:pPr>
        <w:spacing w:line="360" w:lineRule="auto"/>
        <w:ind w:firstLine="640" w:firstLineChars="200"/>
        <w:jc w:val="center"/>
        <w:outlineLvl w:val="0"/>
        <w:rPr>
          <w:rFonts w:ascii="宋体" w:hAnsi="宋体"/>
          <w:color w:val="000000"/>
          <w:sz w:val="32"/>
        </w:rPr>
      </w:pPr>
    </w:p>
    <w:p>
      <w:pPr>
        <w:spacing w:line="360" w:lineRule="auto"/>
        <w:ind w:firstLine="640" w:firstLineChars="200"/>
        <w:jc w:val="center"/>
        <w:outlineLvl w:val="0"/>
        <w:rPr>
          <w:rFonts w:ascii="宋体" w:hAnsi="宋体"/>
          <w:color w:val="000000"/>
          <w:sz w:val="32"/>
        </w:rPr>
      </w:pPr>
    </w:p>
    <w:p>
      <w:pPr>
        <w:spacing w:line="360" w:lineRule="auto"/>
        <w:ind w:firstLine="640" w:firstLineChars="200"/>
        <w:jc w:val="center"/>
        <w:outlineLvl w:val="0"/>
        <w:rPr>
          <w:rFonts w:ascii="宋体" w:hAnsi="宋体"/>
          <w:color w:val="000000"/>
          <w:sz w:val="32"/>
        </w:rPr>
      </w:pPr>
    </w:p>
    <w:p>
      <w:pPr>
        <w:spacing w:line="440" w:lineRule="exact"/>
        <w:outlineLvl w:val="0"/>
        <w:rPr>
          <w:rFonts w:ascii="宋体" w:hAnsi="宋体"/>
          <w:color w:val="000000"/>
          <w:sz w:val="32"/>
        </w:rPr>
      </w:pPr>
    </w:p>
    <w:p>
      <w:pPr>
        <w:spacing w:line="440" w:lineRule="exact"/>
        <w:outlineLvl w:val="0"/>
        <w:rPr>
          <w:rFonts w:ascii="宋体" w:hAnsi="宋体"/>
          <w:b/>
          <w:color w:val="000000"/>
          <w:sz w:val="32"/>
        </w:rPr>
      </w:pPr>
    </w:p>
    <w:p>
      <w:pPr>
        <w:spacing w:line="360" w:lineRule="auto"/>
        <w:ind w:firstLine="643" w:firstLineChars="200"/>
        <w:jc w:val="center"/>
        <w:outlineLvl w:val="0"/>
        <w:rPr>
          <w:rFonts w:ascii="宋体" w:hAnsi="宋体"/>
          <w:b/>
          <w:color w:val="000000"/>
          <w:sz w:val="32"/>
        </w:rPr>
      </w:pPr>
      <w:r>
        <w:rPr>
          <w:rFonts w:hint="eastAsia" w:ascii="宋体" w:hAnsi="宋体"/>
          <w:b/>
          <w:color w:val="000000"/>
          <w:sz w:val="32"/>
        </w:rPr>
        <w:t>第五章  评标办法及开标程序</w:t>
      </w:r>
    </w:p>
    <w:p>
      <w:pPr>
        <w:spacing w:line="360" w:lineRule="auto"/>
        <w:ind w:firstLine="482" w:firstLineChars="200"/>
        <w:rPr>
          <w:rFonts w:ascii="宋体" w:hAnsi="宋体"/>
          <w:b/>
          <w:color w:val="000000"/>
          <w:sz w:val="24"/>
        </w:rPr>
      </w:pPr>
      <w:r>
        <w:rPr>
          <w:rFonts w:hint="eastAsia" w:ascii="宋体" w:hAnsi="宋体"/>
          <w:b/>
          <w:color w:val="000000"/>
          <w:sz w:val="24"/>
        </w:rPr>
        <w:t>一、评标委员会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1.评标委员会依法由五人组成，评标委员会成员对投标文件进行审查、质疑、评估和比较。</w:t>
      </w:r>
    </w:p>
    <w:p>
      <w:pPr>
        <w:spacing w:line="360" w:lineRule="auto"/>
        <w:ind w:firstLine="480" w:firstLineChars="200"/>
        <w:rPr>
          <w:rFonts w:ascii="宋体" w:hAnsi="宋体"/>
          <w:color w:val="FF0000"/>
          <w:sz w:val="24"/>
        </w:rPr>
      </w:pPr>
      <w:r>
        <w:rPr>
          <w:rFonts w:hint="eastAsia" w:ascii="宋体" w:hAnsi="宋体"/>
          <w:color w:val="000000"/>
          <w:sz w:val="24"/>
        </w:rPr>
        <w:t>2.在评标期间</w:t>
      </w:r>
      <w:bookmarkStart w:id="6" w:name="_Hlk41297247"/>
      <w:r>
        <w:rPr>
          <w:rFonts w:hint="eastAsia" w:ascii="宋体" w:hAnsi="宋体"/>
          <w:color w:val="000000"/>
          <w:sz w:val="24"/>
        </w:rPr>
        <w:t>，投标人应派代表参加询标</w:t>
      </w:r>
      <w:bookmarkEnd w:id="6"/>
      <w:r>
        <w:rPr>
          <w:rFonts w:hint="eastAsia" w:ascii="宋体" w:hAnsi="宋体"/>
          <w:color w:val="000000"/>
          <w:sz w:val="24"/>
        </w:rPr>
        <w:t>,</w:t>
      </w:r>
      <w:r>
        <w:rPr>
          <w:rFonts w:hint="eastAsia" w:ascii="宋体" w:hAnsi="宋体"/>
          <w:color w:val="FF0000"/>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rFonts w:ascii="宋体" w:hAnsi="宋体"/>
          <w:b/>
          <w:color w:val="000000"/>
          <w:sz w:val="24"/>
        </w:rPr>
      </w:pPr>
      <w:r>
        <w:rPr>
          <w:rFonts w:hint="eastAsia" w:ascii="宋体" w:hAnsi="宋体"/>
          <w:b/>
          <w:color w:val="000000"/>
          <w:sz w:val="24"/>
        </w:rPr>
        <w:t>二、评标原则</w:t>
      </w:r>
    </w:p>
    <w:p>
      <w:pPr>
        <w:pStyle w:val="22"/>
        <w:snapToGrid w:val="0"/>
        <w:spacing w:line="360" w:lineRule="auto"/>
        <w:ind w:firstLine="480" w:firstLineChars="200"/>
        <w:rPr>
          <w:rFonts w:hAnsi="宋体"/>
          <w:color w:val="000000"/>
          <w:sz w:val="24"/>
        </w:rPr>
      </w:pPr>
      <w:r>
        <w:rPr>
          <w:rFonts w:hint="eastAsia" w:hAnsi="宋体"/>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w:t>
      </w:r>
      <w:r>
        <w:rPr>
          <w:rFonts w:hAnsi="宋体"/>
          <w:color w:val="000000"/>
          <w:sz w:val="24"/>
        </w:rPr>
        <w:t>若有相同最高得分则以报价低者为第一中标候选人；若价格也相同，则由评委记名投票，得票最高者为第一中标候选人</w:t>
      </w:r>
      <w:r>
        <w:rPr>
          <w:rFonts w:hint="eastAsia" w:hAnsi="宋体"/>
          <w:color w:val="000000"/>
          <w:sz w:val="24"/>
        </w:rPr>
        <w:t>。</w:t>
      </w:r>
    </w:p>
    <w:p>
      <w:pPr>
        <w:pStyle w:val="10"/>
        <w:snapToGrid w:val="0"/>
        <w:spacing w:line="360" w:lineRule="auto"/>
        <w:ind w:firstLine="480"/>
        <w:rPr>
          <w:rFonts w:hAnsi="宋体"/>
          <w:color w:val="000000"/>
          <w:sz w:val="24"/>
        </w:rPr>
      </w:pPr>
      <w:r>
        <w:rPr>
          <w:rFonts w:hint="eastAsia" w:hAnsi="宋体"/>
          <w:color w:val="000000"/>
          <w:sz w:val="24"/>
        </w:rPr>
        <w:t>2. 客观公正的对待所有投标人，对所有投标评价，均采用相同的程序和标准。</w:t>
      </w:r>
    </w:p>
    <w:p>
      <w:pPr>
        <w:pStyle w:val="10"/>
        <w:snapToGrid w:val="0"/>
        <w:spacing w:line="360" w:lineRule="auto"/>
        <w:ind w:firstLine="480"/>
        <w:rPr>
          <w:rFonts w:hAnsi="宋体"/>
          <w:color w:val="000000"/>
          <w:sz w:val="24"/>
        </w:rPr>
      </w:pPr>
      <w:r>
        <w:rPr>
          <w:rFonts w:hint="eastAsia" w:hAnsi="宋体"/>
          <w:color w:val="000000"/>
          <w:sz w:val="24"/>
        </w:rPr>
        <w:t>3. 在开标、投标期间，投标人不得向评标委员会成员询问评标情况，不得进行旨在影响评标结果的活动。否则将废除其投标。</w:t>
      </w:r>
    </w:p>
    <w:p>
      <w:pPr>
        <w:pStyle w:val="10"/>
        <w:snapToGrid w:val="0"/>
        <w:spacing w:line="360" w:lineRule="auto"/>
        <w:ind w:firstLine="480"/>
        <w:rPr>
          <w:rFonts w:hAnsi="宋体"/>
          <w:color w:val="000000"/>
          <w:sz w:val="24"/>
        </w:rPr>
      </w:pPr>
      <w:r>
        <w:rPr>
          <w:rFonts w:hint="eastAsia" w:hAnsi="宋体"/>
          <w:color w:val="000000"/>
          <w:sz w:val="24"/>
        </w:rPr>
        <w:t>4. 在评标过程中，评标成员不得与投标人私下交换意见。在招标工作结束后，凡与评标情况有接触的任何人不得将评标情况扩散出评标成员之外。</w:t>
      </w:r>
    </w:p>
    <w:p>
      <w:pPr>
        <w:pStyle w:val="10"/>
        <w:snapToGrid w:val="0"/>
        <w:spacing w:line="360" w:lineRule="auto"/>
        <w:ind w:firstLine="482"/>
        <w:rPr>
          <w:rFonts w:hAnsi="宋体"/>
          <w:color w:val="000000"/>
          <w:sz w:val="24"/>
        </w:rPr>
      </w:pPr>
      <w:r>
        <w:rPr>
          <w:rFonts w:hint="eastAsia" w:hAnsi="宋体"/>
          <w:color w:val="000000"/>
          <w:sz w:val="24"/>
        </w:rPr>
        <w:t>5. 评标委员会不向落标方解释落标原因，不退还投标文件。</w:t>
      </w:r>
    </w:p>
    <w:p>
      <w:pPr>
        <w:pStyle w:val="10"/>
        <w:snapToGrid w:val="0"/>
        <w:spacing w:line="360" w:lineRule="auto"/>
        <w:ind w:firstLine="482"/>
        <w:rPr>
          <w:rFonts w:hAnsi="宋体"/>
          <w:color w:val="000000"/>
          <w:sz w:val="24"/>
        </w:rPr>
      </w:pPr>
      <w:r>
        <w:rPr>
          <w:rFonts w:hint="eastAsia" w:hAnsi="宋体"/>
          <w:color w:val="000000"/>
          <w:sz w:val="24"/>
        </w:rPr>
        <w:t>6. 评标结束后，经公示一个工作日无异议，由采购方签发《中标通知书》。</w:t>
      </w:r>
    </w:p>
    <w:p>
      <w:pPr>
        <w:pStyle w:val="10"/>
        <w:snapToGrid w:val="0"/>
        <w:spacing w:line="360" w:lineRule="auto"/>
        <w:ind w:firstLine="482"/>
        <w:rPr>
          <w:rFonts w:hAnsi="宋体"/>
          <w:b/>
          <w:color w:val="000000"/>
          <w:sz w:val="24"/>
        </w:rPr>
      </w:pPr>
      <w:r>
        <w:rPr>
          <w:rFonts w:hint="eastAsia" w:hAnsi="宋体"/>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rPr>
          <w:rFonts w:ascii="宋体" w:hAnsi="宋体"/>
          <w:b/>
          <w:color w:val="000000"/>
          <w:sz w:val="24"/>
        </w:rPr>
      </w:pPr>
    </w:p>
    <w:p>
      <w:pPr>
        <w:spacing w:line="360" w:lineRule="auto"/>
        <w:rPr>
          <w:rFonts w:ascii="宋体" w:hAnsi="宋体"/>
          <w:b/>
          <w:color w:val="000000"/>
          <w:sz w:val="24"/>
        </w:rPr>
      </w:pPr>
    </w:p>
    <w:p>
      <w:pPr>
        <w:spacing w:line="360" w:lineRule="auto"/>
        <w:rPr>
          <w:rFonts w:ascii="宋体" w:hAnsi="宋体"/>
          <w:b/>
          <w:color w:val="000000"/>
          <w:sz w:val="24"/>
        </w:rPr>
      </w:pPr>
      <w:r>
        <w:rPr>
          <w:rFonts w:hint="eastAsia" w:ascii="宋体" w:hAnsi="宋体"/>
          <w:b/>
          <w:color w:val="000000"/>
          <w:sz w:val="24"/>
        </w:rPr>
        <w:t>三、评定内容及评标标准</w:t>
      </w:r>
    </w:p>
    <w:tbl>
      <w:tblPr>
        <w:tblStyle w:val="16"/>
        <w:tblpPr w:leftFromText="180" w:rightFromText="180" w:vertAnchor="text" w:horzAnchor="page" w:tblpXSpec="center" w:tblpY="523"/>
        <w:tblOverlap w:val="never"/>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34"/>
        <w:gridCol w:w="6096"/>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129"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类  别</w:t>
            </w:r>
          </w:p>
        </w:tc>
        <w:tc>
          <w:tcPr>
            <w:tcW w:w="1134"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项  目</w:t>
            </w:r>
          </w:p>
        </w:tc>
        <w:tc>
          <w:tcPr>
            <w:tcW w:w="6096" w:type="dxa"/>
            <w:vAlign w:val="center"/>
          </w:tcPr>
          <w:p>
            <w:pPr>
              <w:widowControl/>
              <w:spacing w:line="360" w:lineRule="auto"/>
              <w:jc w:val="center"/>
              <w:rPr>
                <w:rFonts w:ascii="宋体" w:hAnsi="宋体" w:cs="仿宋_GB2312"/>
                <w:color w:val="000000"/>
                <w:szCs w:val="21"/>
              </w:rPr>
            </w:pPr>
            <w:r>
              <w:rPr>
                <w:rFonts w:hint="eastAsia" w:ascii="宋体" w:hAnsi="宋体"/>
                <w:szCs w:val="21"/>
              </w:rPr>
              <w:t>具体描述评分细则及标准</w:t>
            </w:r>
          </w:p>
        </w:tc>
        <w:tc>
          <w:tcPr>
            <w:tcW w:w="821" w:type="dxa"/>
            <w:vAlign w:val="center"/>
          </w:tcPr>
          <w:p>
            <w:pPr>
              <w:widowControl/>
              <w:spacing w:line="360" w:lineRule="auto"/>
              <w:rPr>
                <w:rFonts w:ascii="宋体" w:hAnsi="宋体" w:cs="仿宋_GB2312"/>
                <w:color w:val="000000"/>
                <w:szCs w:val="21"/>
              </w:rPr>
            </w:pPr>
            <w:r>
              <w:rPr>
                <w:rFonts w:hint="eastAsia" w:ascii="宋体" w:hAnsi="宋体" w:cs="仿宋_GB2312"/>
                <w:color w:val="000000"/>
                <w:szCs w:val="21"/>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129"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报价</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得分</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30分</w:t>
            </w:r>
          </w:p>
        </w:tc>
        <w:tc>
          <w:tcPr>
            <w:tcW w:w="1134"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报  价</w:t>
            </w:r>
          </w:p>
        </w:tc>
        <w:tc>
          <w:tcPr>
            <w:tcW w:w="6096" w:type="dxa"/>
            <w:vAlign w:val="center"/>
          </w:tcPr>
          <w:p>
            <w:pPr>
              <w:spacing w:line="360" w:lineRule="auto"/>
              <w:jc w:val="left"/>
              <w:rPr>
                <w:rFonts w:ascii="宋体" w:hAnsi="宋体"/>
                <w:color w:val="000000"/>
                <w:szCs w:val="21"/>
              </w:rPr>
            </w:pPr>
            <w:r>
              <w:rPr>
                <w:rFonts w:hint="eastAsia" w:ascii="宋体" w:hAnsi="宋体"/>
                <w:color w:val="000000"/>
                <w:szCs w:val="21"/>
              </w:rPr>
              <w:t>本次采购项目预算：</w:t>
            </w:r>
            <w:r>
              <w:rPr>
                <w:rFonts w:ascii="宋体" w:hAnsi="宋体"/>
                <w:b/>
                <w:bCs/>
                <w:color w:val="000000"/>
                <w:szCs w:val="21"/>
              </w:rPr>
              <w:t>109.52</w:t>
            </w:r>
            <w:r>
              <w:rPr>
                <w:rFonts w:hint="eastAsia" w:ascii="宋体" w:hAnsi="宋体"/>
                <w:b/>
                <w:color w:val="000000"/>
                <w:szCs w:val="21"/>
              </w:rPr>
              <w:t>万元</w:t>
            </w:r>
            <w:r>
              <w:rPr>
                <w:rFonts w:hint="eastAsia" w:ascii="宋体" w:hAnsi="宋体"/>
                <w:color w:val="000000"/>
                <w:szCs w:val="21"/>
              </w:rPr>
              <w:t>。基准价为所有投标人有效报价的最低价，投标报价得分=(基准价/投标报价)×30，四舍五入，保留两位小数。报价高于预算价格的，为无效投标文件。</w:t>
            </w:r>
            <w:r>
              <w:rPr>
                <w:rFonts w:hint="eastAsia" w:ascii="宋体" w:hAnsi="宋体"/>
                <w:b/>
                <w:color w:val="FF0000"/>
                <w:szCs w:val="21"/>
              </w:rPr>
              <w:t>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821"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129" w:type="dxa"/>
            <w:vMerge w:val="restart"/>
            <w:vAlign w:val="center"/>
          </w:tcPr>
          <w:p>
            <w:pPr>
              <w:widowControl/>
              <w:spacing w:line="360" w:lineRule="auto"/>
              <w:jc w:val="center"/>
              <w:rPr>
                <w:rFonts w:ascii="宋体" w:hAnsi="宋体" w:cs="仿宋_GB2312"/>
                <w:color w:val="000000"/>
                <w:szCs w:val="21"/>
              </w:rPr>
            </w:pPr>
          </w:p>
          <w:p>
            <w:pPr>
              <w:widowControl/>
              <w:spacing w:line="360" w:lineRule="auto"/>
              <w:jc w:val="center"/>
              <w:rPr>
                <w:rFonts w:ascii="宋体" w:hAnsi="宋体" w:cs="仿宋_GB2312"/>
                <w:color w:val="000000"/>
                <w:szCs w:val="21"/>
              </w:rPr>
            </w:pPr>
          </w:p>
          <w:p>
            <w:pPr>
              <w:widowControl/>
              <w:spacing w:line="360" w:lineRule="auto"/>
              <w:jc w:val="center"/>
              <w:rPr>
                <w:rFonts w:ascii="宋体" w:hAnsi="宋体" w:cs="仿宋_GB2312"/>
                <w:color w:val="000000"/>
                <w:szCs w:val="21"/>
              </w:rPr>
            </w:pPr>
          </w:p>
          <w:p>
            <w:pPr>
              <w:widowControl/>
              <w:spacing w:line="360" w:lineRule="auto"/>
              <w:jc w:val="center"/>
              <w:rPr>
                <w:rFonts w:ascii="宋体" w:hAnsi="宋体" w:cs="仿宋_GB2312"/>
                <w:color w:val="000000"/>
                <w:szCs w:val="21"/>
              </w:rPr>
            </w:pPr>
          </w:p>
          <w:p>
            <w:pPr>
              <w:widowControl/>
              <w:spacing w:line="360" w:lineRule="auto"/>
              <w:jc w:val="center"/>
              <w:rPr>
                <w:rFonts w:ascii="宋体" w:hAnsi="宋体" w:cs="仿宋_GB2312"/>
                <w:color w:val="000000"/>
                <w:szCs w:val="21"/>
              </w:rPr>
            </w:pPr>
          </w:p>
          <w:p>
            <w:pPr>
              <w:widowControl/>
              <w:spacing w:line="360" w:lineRule="auto"/>
              <w:jc w:val="center"/>
              <w:rPr>
                <w:rFonts w:ascii="宋体" w:hAnsi="宋体" w:cs="仿宋_GB2312"/>
                <w:color w:val="000000"/>
                <w:szCs w:val="21"/>
              </w:rPr>
            </w:pPr>
          </w:p>
          <w:p>
            <w:pPr>
              <w:widowControl/>
              <w:spacing w:line="360" w:lineRule="auto"/>
              <w:jc w:val="center"/>
              <w:rPr>
                <w:rFonts w:ascii="宋体" w:hAnsi="宋体" w:cs="仿宋_GB2312"/>
                <w:color w:val="000000"/>
                <w:szCs w:val="21"/>
              </w:rPr>
            </w:pPr>
          </w:p>
          <w:p>
            <w:pPr>
              <w:widowControl/>
              <w:spacing w:line="360" w:lineRule="auto"/>
              <w:jc w:val="center"/>
              <w:rPr>
                <w:rFonts w:ascii="宋体" w:hAnsi="宋体" w:cs="仿宋_GB2312"/>
                <w:color w:val="000000"/>
                <w:szCs w:val="21"/>
              </w:rPr>
            </w:pPr>
          </w:p>
          <w:p>
            <w:pPr>
              <w:widowControl/>
              <w:spacing w:line="360" w:lineRule="auto"/>
              <w:jc w:val="center"/>
              <w:rPr>
                <w:rFonts w:ascii="宋体" w:hAnsi="宋体" w:cs="仿宋_GB2312"/>
                <w:color w:val="000000"/>
                <w:szCs w:val="21"/>
              </w:rPr>
            </w:pP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商务</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技术</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得分</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70分</w:t>
            </w:r>
          </w:p>
          <w:p>
            <w:pPr>
              <w:widowControl/>
              <w:spacing w:line="360" w:lineRule="exact"/>
              <w:jc w:val="center"/>
              <w:rPr>
                <w:rFonts w:ascii="宋体" w:hAnsi="宋体" w:cs="仿宋_GB2312"/>
                <w:color w:val="000000"/>
                <w:szCs w:val="21"/>
              </w:rPr>
            </w:pPr>
          </w:p>
          <w:p>
            <w:pPr>
              <w:widowControl/>
              <w:spacing w:line="360" w:lineRule="exact"/>
              <w:jc w:val="center"/>
              <w:rPr>
                <w:rFonts w:ascii="宋体" w:hAnsi="宋体" w:cs="仿宋_GB2312"/>
                <w:color w:val="000000"/>
                <w:szCs w:val="21"/>
              </w:rPr>
            </w:pPr>
          </w:p>
          <w:p>
            <w:pPr>
              <w:widowControl/>
              <w:spacing w:line="360" w:lineRule="exact"/>
              <w:rPr>
                <w:rFonts w:ascii="宋体" w:hAnsi="宋体" w:cs="仿宋_GB2312"/>
                <w:color w:val="000000"/>
                <w:szCs w:val="21"/>
              </w:rPr>
            </w:pPr>
          </w:p>
        </w:tc>
        <w:tc>
          <w:tcPr>
            <w:tcW w:w="1134"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技术参数</w:t>
            </w:r>
          </w:p>
        </w:tc>
        <w:tc>
          <w:tcPr>
            <w:tcW w:w="6096" w:type="dxa"/>
            <w:vAlign w:val="center"/>
          </w:tcPr>
          <w:p>
            <w:pPr>
              <w:spacing w:line="360" w:lineRule="auto"/>
              <w:jc w:val="left"/>
              <w:rPr>
                <w:rFonts w:ascii="宋体" w:hAnsi="宋体" w:cs="仿宋_GB2312"/>
                <w:color w:val="000000"/>
                <w:szCs w:val="21"/>
              </w:rPr>
            </w:pPr>
            <w:r>
              <w:rPr>
                <w:rFonts w:hint="eastAsia" w:ascii="宋体" w:hAnsi="宋体"/>
                <w:color w:val="000000"/>
                <w:szCs w:val="21"/>
              </w:rPr>
              <w:t>符合明确指标参数得18分。</w:t>
            </w:r>
            <w:r>
              <w:rPr>
                <w:rFonts w:ascii="宋体" w:hAnsi="宋体"/>
                <w:color w:val="000000"/>
                <w:szCs w:val="21"/>
              </w:rPr>
              <w:t>打▲号指标为实质性要求，如有负偏离将作为无效投标；</w:t>
            </w:r>
            <w:r>
              <w:rPr>
                <w:rFonts w:hint="eastAsia" w:ascii="宋体" w:hAnsi="宋体"/>
                <w:color w:val="000000"/>
                <w:szCs w:val="21"/>
              </w:rPr>
              <w:t>非打▲号指标有负偏离的且评委认为有影响的每项扣2分，技术指标属正偏离或高配的且</w:t>
            </w:r>
            <w:r>
              <w:rPr>
                <w:rFonts w:ascii="宋体" w:hAnsi="宋体"/>
                <w:color w:val="000000"/>
                <w:szCs w:val="21"/>
              </w:rPr>
              <w:t>评委认为有意义的，每项加1</w:t>
            </w:r>
            <w:r>
              <w:rPr>
                <w:rFonts w:hint="eastAsia" w:ascii="宋体" w:hAnsi="宋体"/>
                <w:color w:val="000000"/>
                <w:szCs w:val="21"/>
              </w:rPr>
              <w:t>.5</w:t>
            </w:r>
            <w:r>
              <w:rPr>
                <w:rFonts w:ascii="宋体" w:hAnsi="宋体"/>
                <w:color w:val="000000"/>
                <w:szCs w:val="21"/>
              </w:rPr>
              <w:t>分</w:t>
            </w:r>
            <w:r>
              <w:rPr>
                <w:rFonts w:hint="eastAsia" w:ascii="宋体" w:hAnsi="宋体"/>
                <w:color w:val="000000"/>
                <w:szCs w:val="21"/>
              </w:rPr>
              <w:t>。本项最多得30分。（0-30分）</w:t>
            </w:r>
          </w:p>
        </w:tc>
        <w:tc>
          <w:tcPr>
            <w:tcW w:w="821"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29" w:type="dxa"/>
            <w:vMerge w:val="continue"/>
            <w:vAlign w:val="center"/>
          </w:tcPr>
          <w:p>
            <w:pPr>
              <w:widowControl/>
              <w:spacing w:line="360" w:lineRule="auto"/>
              <w:jc w:val="center"/>
              <w:rPr>
                <w:rFonts w:ascii="宋体" w:hAnsi="宋体" w:cs="仿宋_GB2312"/>
                <w:color w:val="000000"/>
                <w:szCs w:val="21"/>
              </w:rPr>
            </w:pPr>
          </w:p>
        </w:tc>
        <w:tc>
          <w:tcPr>
            <w:tcW w:w="1134" w:type="dxa"/>
            <w:vMerge w:val="restart"/>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系统方案</w:t>
            </w:r>
          </w:p>
        </w:tc>
        <w:tc>
          <w:tcPr>
            <w:tcW w:w="6096" w:type="dxa"/>
            <w:vAlign w:val="center"/>
          </w:tcPr>
          <w:p>
            <w:pPr>
              <w:adjustRightInd w:val="0"/>
              <w:snapToGrid w:val="0"/>
              <w:spacing w:line="360" w:lineRule="auto"/>
              <w:jc w:val="left"/>
              <w:rPr>
                <w:rFonts w:ascii="宋体" w:hAnsi="宋体" w:cs="仿宋_GB2312"/>
                <w:color w:val="000000"/>
                <w:szCs w:val="21"/>
              </w:rPr>
            </w:pPr>
            <w:r>
              <w:rPr>
                <w:rFonts w:ascii="宋体" w:hAnsi="宋体"/>
                <w:color w:val="000000"/>
                <w:szCs w:val="21"/>
              </w:rPr>
              <w:t>设备</w:t>
            </w:r>
            <w:r>
              <w:rPr>
                <w:rFonts w:hint="eastAsia" w:ascii="宋体" w:hAnsi="宋体"/>
                <w:color w:val="000000"/>
                <w:szCs w:val="21"/>
              </w:rPr>
              <w:t>（系统）</w:t>
            </w:r>
            <w:r>
              <w:rPr>
                <w:rFonts w:ascii="宋体" w:hAnsi="宋体"/>
                <w:color w:val="000000"/>
                <w:szCs w:val="21"/>
              </w:rPr>
              <w:t>技术</w:t>
            </w:r>
            <w:r>
              <w:rPr>
                <w:rFonts w:hint="eastAsia" w:ascii="宋体" w:hAnsi="宋体"/>
                <w:color w:val="000000"/>
                <w:szCs w:val="21"/>
              </w:rPr>
              <w:t>的合理性（0-2分）、成熟性（0-2分）、先进性（0-2分）。（0-6分）</w:t>
            </w:r>
          </w:p>
        </w:tc>
        <w:tc>
          <w:tcPr>
            <w:tcW w:w="821"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29" w:type="dxa"/>
            <w:vMerge w:val="continue"/>
          </w:tcPr>
          <w:p>
            <w:pPr>
              <w:widowControl/>
              <w:spacing w:line="360" w:lineRule="auto"/>
              <w:jc w:val="left"/>
              <w:rPr>
                <w:rFonts w:ascii="宋体" w:hAnsi="宋体" w:cs="仿宋_GB2312"/>
                <w:color w:val="000000"/>
                <w:szCs w:val="21"/>
              </w:rPr>
            </w:pPr>
          </w:p>
        </w:tc>
        <w:tc>
          <w:tcPr>
            <w:tcW w:w="1134" w:type="dxa"/>
            <w:vMerge w:val="continue"/>
            <w:vAlign w:val="center"/>
          </w:tcPr>
          <w:p>
            <w:pPr>
              <w:widowControl/>
              <w:spacing w:line="360" w:lineRule="auto"/>
              <w:jc w:val="left"/>
              <w:rPr>
                <w:rFonts w:ascii="宋体" w:hAnsi="宋体" w:cs="仿宋_GB2312"/>
                <w:color w:val="000000"/>
                <w:szCs w:val="21"/>
              </w:rPr>
            </w:pPr>
          </w:p>
        </w:tc>
        <w:tc>
          <w:tcPr>
            <w:tcW w:w="6096" w:type="dxa"/>
            <w:vAlign w:val="center"/>
          </w:tcPr>
          <w:p>
            <w:pPr>
              <w:spacing w:line="360" w:lineRule="auto"/>
              <w:jc w:val="left"/>
              <w:rPr>
                <w:rFonts w:ascii="宋体" w:hAnsi="宋体" w:cs="仿宋_GB2312"/>
                <w:color w:val="000000"/>
                <w:szCs w:val="21"/>
              </w:rPr>
            </w:pPr>
            <w:r>
              <w:rPr>
                <w:rFonts w:hint="eastAsia" w:ascii="宋体" w:hAnsi="宋体"/>
                <w:color w:val="000000"/>
                <w:szCs w:val="21"/>
              </w:rPr>
              <w:t>根据拟投入本项目人员情况（技术力量）进行综合评分。（0-2分）</w:t>
            </w:r>
          </w:p>
        </w:tc>
        <w:tc>
          <w:tcPr>
            <w:tcW w:w="821" w:type="dxa"/>
            <w:vAlign w:val="center"/>
          </w:tcPr>
          <w:p>
            <w:pPr>
              <w:spacing w:line="360" w:lineRule="auto"/>
              <w:jc w:val="center"/>
              <w:rPr>
                <w:rFonts w:ascii="宋体" w:hAnsi="宋体" w:cs="仿宋_GB2312"/>
                <w:color w:val="000000"/>
                <w:szCs w:val="21"/>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129" w:type="dxa"/>
            <w:vMerge w:val="continue"/>
          </w:tcPr>
          <w:p>
            <w:pPr>
              <w:widowControl/>
              <w:spacing w:line="360" w:lineRule="auto"/>
              <w:jc w:val="left"/>
              <w:rPr>
                <w:rFonts w:ascii="宋体" w:hAnsi="宋体" w:cs="仿宋_GB2312"/>
                <w:color w:val="000000"/>
                <w:szCs w:val="21"/>
              </w:rPr>
            </w:pPr>
          </w:p>
        </w:tc>
        <w:tc>
          <w:tcPr>
            <w:tcW w:w="1134"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同类项目</w:t>
            </w:r>
          </w:p>
          <w:p>
            <w:pPr>
              <w:spacing w:line="360" w:lineRule="auto"/>
              <w:jc w:val="center"/>
              <w:rPr>
                <w:rFonts w:ascii="宋体" w:hAnsi="宋体" w:cs="仿宋_GB2312"/>
                <w:color w:val="000000"/>
                <w:szCs w:val="21"/>
              </w:rPr>
            </w:pPr>
            <w:r>
              <w:rPr>
                <w:rFonts w:hint="eastAsia" w:ascii="宋体" w:hAnsi="宋体" w:cs="仿宋_GB2312"/>
                <w:color w:val="000000"/>
                <w:szCs w:val="21"/>
              </w:rPr>
              <w:t>实施经验</w:t>
            </w:r>
          </w:p>
        </w:tc>
        <w:tc>
          <w:tcPr>
            <w:tcW w:w="6096" w:type="dxa"/>
            <w:vAlign w:val="center"/>
          </w:tcPr>
          <w:p>
            <w:pPr>
              <w:spacing w:line="360" w:lineRule="auto"/>
              <w:jc w:val="left"/>
              <w:rPr>
                <w:rFonts w:ascii="宋体" w:hAnsi="宋体"/>
                <w:color w:val="000000"/>
                <w:szCs w:val="21"/>
              </w:rPr>
            </w:pPr>
            <w:r>
              <w:rPr>
                <w:rFonts w:hint="eastAsia" w:ascii="宋体" w:hAnsi="宋体"/>
                <w:color w:val="000000"/>
                <w:szCs w:val="21"/>
              </w:rPr>
              <w:t>投标人自</w:t>
            </w:r>
            <w:r>
              <w:rPr>
                <w:rFonts w:ascii="宋体" w:hAnsi="宋体"/>
                <w:color w:val="FF0000"/>
                <w:szCs w:val="21"/>
              </w:rPr>
              <w:t>2018</w:t>
            </w:r>
            <w:r>
              <w:rPr>
                <w:rFonts w:hint="eastAsia" w:ascii="宋体" w:hAnsi="宋体"/>
                <w:color w:val="FF0000"/>
                <w:szCs w:val="21"/>
              </w:rPr>
              <w:t>年1月1日</w:t>
            </w:r>
            <w:r>
              <w:rPr>
                <w:rFonts w:hint="eastAsia" w:ascii="宋体" w:hAnsi="宋体"/>
                <w:color w:val="000000" w:themeColor="text1"/>
                <w:szCs w:val="21"/>
                <w14:textFill>
                  <w14:solidFill>
                    <w14:schemeClr w14:val="tx1"/>
                  </w14:solidFill>
                </w14:textFill>
              </w:rPr>
              <w:t>以</w:t>
            </w:r>
            <w:r>
              <w:rPr>
                <w:rFonts w:hint="eastAsia" w:ascii="宋体" w:hAnsi="宋体"/>
                <w:color w:val="000000"/>
                <w:szCs w:val="21"/>
              </w:rPr>
              <w:t>来至今（以合同签订时间为准）同类项目（机器人基础训练设备）成功实施案例：每提供一个有效合同原件的扫描件得1.5分，</w:t>
            </w:r>
            <w:r>
              <w:rPr>
                <w:rFonts w:hint="eastAsia" w:ascii="宋体" w:hAnsi="宋体"/>
                <w:color w:val="000000" w:themeColor="text1"/>
                <w:szCs w:val="21"/>
                <w14:textFill>
                  <w14:solidFill>
                    <w14:schemeClr w14:val="tx1"/>
                  </w14:solidFill>
                </w14:textFill>
              </w:rPr>
              <w:t>最高得</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分。（0-6分）</w:t>
            </w:r>
          </w:p>
        </w:tc>
        <w:tc>
          <w:tcPr>
            <w:tcW w:w="821" w:type="dxa"/>
            <w:vAlign w:val="center"/>
          </w:tcPr>
          <w:p>
            <w:pPr>
              <w:spacing w:line="360" w:lineRule="auto"/>
              <w:jc w:val="center"/>
              <w:rPr>
                <w:rFonts w:ascii="宋体" w:hAnsi="宋体" w:cs="仿宋_GB2312"/>
                <w:color w:val="000000"/>
                <w:szCs w:val="21"/>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29" w:type="dxa"/>
            <w:vMerge w:val="continue"/>
          </w:tcPr>
          <w:p>
            <w:pPr>
              <w:widowControl/>
              <w:spacing w:line="360" w:lineRule="auto"/>
              <w:jc w:val="left"/>
              <w:rPr>
                <w:rFonts w:ascii="宋体" w:hAnsi="宋体" w:cs="仿宋_GB2312"/>
                <w:color w:val="000000"/>
                <w:szCs w:val="21"/>
              </w:rPr>
            </w:pPr>
          </w:p>
        </w:tc>
        <w:tc>
          <w:tcPr>
            <w:tcW w:w="1134"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演示情况</w:t>
            </w:r>
          </w:p>
        </w:tc>
        <w:tc>
          <w:tcPr>
            <w:tcW w:w="6096" w:type="dxa"/>
            <w:vAlign w:val="center"/>
          </w:tcPr>
          <w:p>
            <w:pPr>
              <w:widowControl/>
              <w:spacing w:line="360" w:lineRule="auto"/>
              <w:jc w:val="left"/>
              <w:rPr>
                <w:color w:val="000000"/>
                <w:szCs w:val="21"/>
              </w:rPr>
            </w:pPr>
            <w:r>
              <w:rPr>
                <w:color w:val="000000"/>
                <w:szCs w:val="21"/>
              </w:rPr>
              <w:t>对投标人提供视频演示进行综合评分：</w:t>
            </w:r>
          </w:p>
          <w:p>
            <w:pPr>
              <w:spacing w:line="360" w:lineRule="auto"/>
              <w:rPr>
                <w:color w:val="000000"/>
                <w:szCs w:val="21"/>
              </w:rPr>
            </w:pPr>
            <w:r>
              <w:rPr>
                <w:b/>
                <w:bCs/>
                <w:color w:val="FF0000"/>
                <w:szCs w:val="21"/>
              </w:rPr>
              <w:t>1.智能设备管理系统相关功能视频演示</w:t>
            </w:r>
            <w:r>
              <w:rPr>
                <w:color w:val="000000"/>
                <w:szCs w:val="21"/>
              </w:rPr>
              <w:t>：电源管理、I/O控制、设备管理、通道管理、查看日志多个功能菜单，无线远程控制，定时控制，手持无线管理器功能逐一演示，本项最高得3分</w:t>
            </w:r>
            <w:r>
              <w:rPr>
                <w:rFonts w:hint="eastAsia"/>
                <w:color w:val="000000"/>
                <w:szCs w:val="21"/>
              </w:rPr>
              <w:t>。（0-3分）</w:t>
            </w:r>
          </w:p>
          <w:p>
            <w:pPr>
              <w:spacing w:line="360" w:lineRule="auto"/>
              <w:rPr>
                <w:color w:val="000000"/>
                <w:szCs w:val="21"/>
              </w:rPr>
            </w:pPr>
            <w:r>
              <w:rPr>
                <w:b/>
                <w:bCs/>
                <w:color w:val="FF0000"/>
                <w:szCs w:val="21"/>
              </w:rPr>
              <w:t>2.数字化立体教材软件平台功能视频演示</w:t>
            </w:r>
            <w:r>
              <w:rPr>
                <w:color w:val="000000"/>
                <w:szCs w:val="21"/>
              </w:rPr>
              <w:t>：平台基于云端，支持PC版、APP版、网页版、微信扫码访问，支持制作微课工具，具有3D效果，集成实验指导书、电工电子技术基础教材、万用表仿真软件、安全教育仿真软件、电子电路仿真软件、电工技能训练仿真软件功能逐一演示，本项最高得3分</w:t>
            </w:r>
            <w:r>
              <w:rPr>
                <w:rFonts w:hint="eastAsia"/>
                <w:color w:val="000000"/>
                <w:szCs w:val="21"/>
              </w:rPr>
              <w:t>。（0-3分）</w:t>
            </w:r>
          </w:p>
          <w:p>
            <w:pPr>
              <w:spacing w:line="360" w:lineRule="auto"/>
              <w:rPr>
                <w:color w:val="000000"/>
                <w:szCs w:val="21"/>
              </w:rPr>
            </w:pPr>
            <w:r>
              <w:rPr>
                <w:b/>
                <w:bCs/>
                <w:color w:val="FF0000"/>
                <w:szCs w:val="21"/>
              </w:rPr>
              <w:t>3.互联网+安全监测系统功能视频演示</w:t>
            </w:r>
            <w:r>
              <w:rPr>
                <w:color w:val="000000"/>
                <w:szCs w:val="21"/>
              </w:rPr>
              <w:t>：实时监测三相电压、电流、功率，频率、电能，具备故障统计和语音播报功能。移动端软件具有保护功能的监测，电源故障锁定功能，远程故障清除，一键全屏投影功能逐一演示，本项最高得4分</w:t>
            </w:r>
            <w:r>
              <w:rPr>
                <w:rFonts w:hint="eastAsia"/>
                <w:color w:val="000000"/>
                <w:szCs w:val="21"/>
              </w:rPr>
              <w:t>。（0-4分）</w:t>
            </w:r>
          </w:p>
          <w:p>
            <w:pPr>
              <w:spacing w:line="360" w:lineRule="auto"/>
              <w:rPr>
                <w:color w:val="000000"/>
                <w:szCs w:val="21"/>
              </w:rPr>
            </w:pPr>
            <w:r>
              <w:rPr>
                <w:b/>
                <w:bCs/>
                <w:color w:val="FF0000"/>
                <w:szCs w:val="21"/>
              </w:rPr>
              <w:t>4.互联网+设备运维系统软件功能视频演</w:t>
            </w:r>
            <w:r>
              <w:rPr>
                <w:color w:val="000000"/>
                <w:szCs w:val="21"/>
              </w:rPr>
              <w:t>示：客户端通过手机扫描可以查看设备信息，快速提交服务需求，服务端自动发送的服务短信内容，可察看服务进度功能逐一演示，本项最高得3分</w:t>
            </w:r>
            <w:r>
              <w:rPr>
                <w:rFonts w:hint="eastAsia"/>
                <w:color w:val="000000"/>
                <w:szCs w:val="21"/>
              </w:rPr>
              <w:t>。（0-3分）</w:t>
            </w:r>
          </w:p>
          <w:p>
            <w:pPr>
              <w:widowControl/>
              <w:spacing w:line="360" w:lineRule="auto"/>
              <w:rPr>
                <w:color w:val="000000"/>
                <w:szCs w:val="21"/>
              </w:rPr>
            </w:pPr>
            <w:bookmarkStart w:id="7" w:name="_GoBack"/>
            <w:r>
              <w:rPr>
                <w:b/>
                <w:bCs/>
                <w:color w:val="FF0000"/>
                <w:szCs w:val="21"/>
              </w:rPr>
              <w:t>5.互联网+实验报告管理系统软件功能视频演示</w:t>
            </w:r>
            <w:r>
              <w:rPr>
                <w:color w:val="000000"/>
                <w:szCs w:val="21"/>
              </w:rPr>
              <w:t>：</w:t>
            </w:r>
            <w:r>
              <w:rPr>
                <w:rFonts w:hint="eastAsia"/>
                <w:color w:val="000000"/>
                <w:szCs w:val="21"/>
              </w:rPr>
              <w:t>具有</w:t>
            </w:r>
            <w:r>
              <w:rPr>
                <w:color w:val="000000"/>
                <w:szCs w:val="21"/>
              </w:rPr>
              <w:t>文档扫描、传送、保存功能。AI智能云平台管理软件</w:t>
            </w:r>
            <w:r>
              <w:rPr>
                <w:rFonts w:hint="eastAsia"/>
                <w:color w:val="000000"/>
                <w:szCs w:val="21"/>
              </w:rPr>
              <w:t>能</w:t>
            </w:r>
            <w:r>
              <w:rPr>
                <w:color w:val="000000"/>
                <w:szCs w:val="21"/>
              </w:rPr>
              <w:t>识别提交报告，并自动填入学生信息，用户界面采用统一WEB界面，在线查看报告内容功能逐一演示，本项最高得4 分。</w:t>
            </w:r>
            <w:r>
              <w:rPr>
                <w:rFonts w:hint="eastAsia"/>
                <w:color w:val="000000"/>
                <w:szCs w:val="21"/>
              </w:rPr>
              <w:t>（0-4分）</w:t>
            </w:r>
            <w:bookmarkEnd w:id="7"/>
          </w:p>
        </w:tc>
        <w:tc>
          <w:tcPr>
            <w:tcW w:w="821" w:type="dxa"/>
            <w:vAlign w:val="center"/>
          </w:tcPr>
          <w:p>
            <w:pPr>
              <w:widowControl/>
              <w:spacing w:line="360" w:lineRule="auto"/>
              <w:jc w:val="center"/>
              <w:rPr>
                <w:rFonts w:ascii="宋体" w:hAnsi="宋体" w:cs="仿宋_GB2312"/>
                <w:color w:val="000000"/>
                <w:szCs w:val="21"/>
              </w:rPr>
            </w:pPr>
            <w:r>
              <w:rPr>
                <w:rFonts w:hint="eastAsia" w:ascii="宋体" w:hAnsi="宋体"/>
                <w:szCs w:val="21"/>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29" w:type="dxa"/>
            <w:vMerge w:val="continue"/>
          </w:tcPr>
          <w:p>
            <w:pPr>
              <w:widowControl/>
              <w:spacing w:line="360" w:lineRule="exact"/>
              <w:rPr>
                <w:rFonts w:ascii="宋体" w:hAnsi="宋体" w:cs="仿宋_GB2312"/>
                <w:color w:val="000000"/>
                <w:szCs w:val="21"/>
              </w:rPr>
            </w:pPr>
          </w:p>
        </w:tc>
        <w:tc>
          <w:tcPr>
            <w:tcW w:w="1134"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培训方案</w:t>
            </w:r>
          </w:p>
        </w:tc>
        <w:tc>
          <w:tcPr>
            <w:tcW w:w="6096" w:type="dxa"/>
            <w:vAlign w:val="center"/>
          </w:tcPr>
          <w:p>
            <w:pPr>
              <w:widowControl/>
              <w:spacing w:line="360" w:lineRule="exact"/>
              <w:jc w:val="left"/>
              <w:rPr>
                <w:rFonts w:ascii="宋体" w:hAnsi="宋体"/>
                <w:color w:val="FF0000"/>
                <w:szCs w:val="21"/>
              </w:rPr>
            </w:pPr>
            <w:r>
              <w:rPr>
                <w:rFonts w:hint="eastAsia" w:ascii="宋体" w:hAnsi="宋体"/>
                <w:szCs w:val="21"/>
              </w:rPr>
              <w:t>投标人培训方案、地点、组织、人员配备、软硬件资料等内容是否完整、科学合理。（0-3分）</w:t>
            </w:r>
          </w:p>
        </w:tc>
        <w:tc>
          <w:tcPr>
            <w:tcW w:w="821" w:type="dxa"/>
            <w:vAlign w:val="center"/>
          </w:tcPr>
          <w:p>
            <w:pPr>
              <w:widowControl/>
              <w:spacing w:line="360" w:lineRule="auto"/>
              <w:jc w:val="center"/>
              <w:rPr>
                <w:rFonts w:ascii="宋体" w:hAnsi="宋体"/>
                <w:szCs w:val="21"/>
              </w:rPr>
            </w:pPr>
            <w:r>
              <w:rPr>
                <w:rFonts w:ascii="宋体" w:hAnsi="宋体"/>
                <w:szCs w:val="21"/>
              </w:rPr>
              <w:t>3</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129" w:type="dxa"/>
            <w:vMerge w:val="continue"/>
          </w:tcPr>
          <w:p>
            <w:pPr>
              <w:widowControl/>
              <w:spacing w:line="360" w:lineRule="exact"/>
              <w:jc w:val="center"/>
              <w:rPr>
                <w:rFonts w:ascii="宋体" w:hAnsi="宋体" w:cs="仿宋_GB2312"/>
                <w:color w:val="000000"/>
                <w:szCs w:val="21"/>
              </w:rPr>
            </w:pPr>
          </w:p>
        </w:tc>
        <w:tc>
          <w:tcPr>
            <w:tcW w:w="1134"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服务承诺</w:t>
            </w:r>
          </w:p>
        </w:tc>
        <w:tc>
          <w:tcPr>
            <w:tcW w:w="6096" w:type="dxa"/>
            <w:vAlign w:val="center"/>
          </w:tcPr>
          <w:p>
            <w:pPr>
              <w:widowControl/>
              <w:spacing w:line="360" w:lineRule="exact"/>
              <w:jc w:val="left"/>
              <w:rPr>
                <w:rFonts w:ascii="宋体" w:hAnsi="宋体"/>
                <w:color w:val="FF0000"/>
                <w:szCs w:val="21"/>
              </w:rPr>
            </w:pPr>
            <w:r>
              <w:rPr>
                <w:rFonts w:hint="eastAsia"/>
                <w:szCs w:val="21"/>
              </w:rPr>
              <w:t>售后服务方案、维护人员和服务机构等情况，以及服务承诺的可行性、完整性以及服务承诺落实的保障措施，能及时提供备品备件及备品备件数量，定期巡检服务承诺，对用户服务响应措施情况等。（0-4分）</w:t>
            </w:r>
          </w:p>
        </w:tc>
        <w:tc>
          <w:tcPr>
            <w:tcW w:w="821" w:type="dxa"/>
            <w:vAlign w:val="center"/>
          </w:tcPr>
          <w:p>
            <w:pPr>
              <w:widowControl/>
              <w:spacing w:line="360" w:lineRule="auto"/>
              <w:jc w:val="center"/>
              <w:rPr>
                <w:rFonts w:ascii="宋体" w:hAnsi="宋体"/>
                <w:szCs w:val="21"/>
              </w:rPr>
            </w:pPr>
            <w:r>
              <w:rPr>
                <w:rFonts w:hint="eastAsia" w:ascii="宋体" w:hAnsi="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29" w:type="dxa"/>
            <w:vMerge w:val="continue"/>
          </w:tcPr>
          <w:p>
            <w:pPr>
              <w:widowControl/>
              <w:spacing w:line="360" w:lineRule="exact"/>
              <w:jc w:val="center"/>
              <w:rPr>
                <w:rFonts w:ascii="宋体" w:hAnsi="宋体" w:cs="仿宋_GB2312"/>
                <w:color w:val="000000"/>
                <w:szCs w:val="21"/>
              </w:rPr>
            </w:pPr>
          </w:p>
        </w:tc>
        <w:tc>
          <w:tcPr>
            <w:tcW w:w="1134"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质保期外的服务承诺</w:t>
            </w:r>
          </w:p>
        </w:tc>
        <w:tc>
          <w:tcPr>
            <w:tcW w:w="6096" w:type="dxa"/>
            <w:vAlign w:val="center"/>
          </w:tcPr>
          <w:p>
            <w:pPr>
              <w:widowControl/>
              <w:spacing w:line="360" w:lineRule="exact"/>
              <w:jc w:val="left"/>
              <w:rPr>
                <w:rFonts w:ascii="宋体" w:hAnsi="宋体"/>
                <w:color w:val="FF0000"/>
                <w:szCs w:val="21"/>
              </w:rPr>
            </w:pPr>
            <w:r>
              <w:rPr>
                <w:rFonts w:cs="仿宋_GB2312"/>
                <w:color w:val="000000"/>
                <w:szCs w:val="21"/>
              </w:rPr>
              <w:t>投标人质保期满后的技术支持和维护费用，提供上门维护、升级服务以及给予招标人的各种优惠条件（包括易损备品备件、专用耗材、人工费等）</w:t>
            </w:r>
            <w:r>
              <w:rPr>
                <w:rFonts w:hint="eastAsia" w:cs="仿宋_GB2312"/>
                <w:color w:val="000000"/>
                <w:szCs w:val="21"/>
              </w:rPr>
              <w:t>。（0-2分）</w:t>
            </w:r>
          </w:p>
        </w:tc>
        <w:tc>
          <w:tcPr>
            <w:tcW w:w="821" w:type="dxa"/>
            <w:vAlign w:val="center"/>
          </w:tcPr>
          <w:p>
            <w:pPr>
              <w:widowControl/>
              <w:spacing w:line="360" w:lineRule="auto"/>
              <w:jc w:val="center"/>
              <w:rPr>
                <w:rFonts w:ascii="宋体" w:hAnsi="宋体"/>
                <w:szCs w:val="21"/>
              </w:rPr>
            </w:pPr>
            <w:r>
              <w:rPr>
                <w:rFonts w:hint="eastAsia" w:ascii="宋体" w:hAnsi="宋体" w:cs="仿宋_GB2312"/>
                <w:color w:val="000000"/>
                <w:szCs w:val="21"/>
              </w:rPr>
              <w:t>2分</w:t>
            </w:r>
          </w:p>
        </w:tc>
      </w:tr>
    </w:tbl>
    <w:p>
      <w:pPr>
        <w:autoSpaceDE w:val="0"/>
        <w:autoSpaceDN w:val="0"/>
        <w:adjustRightInd w:val="0"/>
        <w:spacing w:line="360" w:lineRule="auto"/>
        <w:rPr>
          <w:rFonts w:ascii="宋体" w:hAnsi="宋体"/>
          <w:b/>
          <w:color w:val="000000"/>
          <w:sz w:val="24"/>
        </w:rPr>
      </w:pPr>
    </w:p>
    <w:p>
      <w:pPr>
        <w:autoSpaceDE w:val="0"/>
        <w:autoSpaceDN w:val="0"/>
        <w:adjustRightInd w:val="0"/>
        <w:spacing w:line="360" w:lineRule="auto"/>
        <w:rPr>
          <w:rFonts w:ascii="宋体" w:hAnsi="宋体"/>
          <w:b/>
          <w:color w:val="000000"/>
          <w:sz w:val="24"/>
        </w:rPr>
      </w:pPr>
      <w:r>
        <w:rPr>
          <w:rFonts w:hint="eastAsia" w:ascii="宋体" w:hAnsi="宋体"/>
          <w:b/>
          <w:color w:val="000000"/>
          <w:sz w:val="24"/>
        </w:rPr>
        <w:t>四、开标程序</w:t>
      </w:r>
    </w:p>
    <w:p>
      <w:pPr>
        <w:autoSpaceDE w:val="0"/>
        <w:autoSpaceDN w:val="0"/>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1.工作人员宣布投标截止时间，截止时间以国家授时中心标准时间为准，宣布招标会议开始。</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2.电子投标开标及评审程序</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（2）由采购人代表对资格审查文件进行评审，评标委员会对技术商务文件进行评审；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（3）在系统上公开资格审查和技术商务评审结果（系统会下发技术商务分数）；</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（4）在系统上公开报价开标情况（报价文件开启后投标人在线对投标报价用数字CA进行数字签字确认）；</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（5）评标委员会对报价情况进行评审；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（6）在系统上公布评审结果。</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特别说明：政采云公司如对电子化开标及评审程序有调整的，按调整后的程序操作。</w:t>
      </w:r>
    </w:p>
    <w:p>
      <w:pPr>
        <w:spacing w:line="360" w:lineRule="auto"/>
        <w:ind w:left="480"/>
        <w:rPr>
          <w:rFonts w:ascii="宋体" w:hAnsi="宋体" w:cs="仿宋_GB2312"/>
          <w:color w:val="000000"/>
          <w:sz w:val="24"/>
        </w:rPr>
      </w:pPr>
      <w:r>
        <w:rPr>
          <w:rFonts w:hint="eastAsia" w:ascii="宋体" w:hAnsi="宋体" w:cs="仿宋_GB2312"/>
          <w:color w:val="000000"/>
          <w:sz w:val="24"/>
        </w:rPr>
        <w:t>3.开标会结束。</w:t>
      </w: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28"/>
          <w:szCs w:val="28"/>
        </w:rPr>
      </w:pPr>
      <w:r>
        <w:rPr>
          <w:rFonts w:hint="eastAsia" w:ascii="宋体" w:hAnsi="宋体"/>
          <w:b/>
          <w:color w:val="000000"/>
          <w:sz w:val="32"/>
          <w:szCs w:val="32"/>
        </w:rPr>
        <w:t>第六章 应提交的有关材料格式范例</w:t>
      </w:r>
    </w:p>
    <w:p>
      <w:pPr>
        <w:spacing w:line="410" w:lineRule="exact"/>
        <w:outlineLvl w:val="1"/>
        <w:rPr>
          <w:rFonts w:ascii="宋体" w:hAnsi="宋体"/>
          <w:b/>
          <w:color w:val="000000"/>
          <w:sz w:val="28"/>
          <w:szCs w:val="28"/>
        </w:rPr>
      </w:pPr>
      <w:r>
        <w:rPr>
          <w:rFonts w:hint="eastAsia" w:ascii="宋体" w:hAnsi="宋体"/>
          <w:b/>
          <w:color w:val="000000"/>
          <w:sz w:val="28"/>
          <w:szCs w:val="28"/>
        </w:rPr>
        <w:t>格式一：</w:t>
      </w: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投标文件封面格式</w:t>
      </w:r>
    </w:p>
    <w:p>
      <w:pPr>
        <w:tabs>
          <w:tab w:val="left" w:pos="6705"/>
        </w:tabs>
        <w:snapToGrid w:val="0"/>
        <w:spacing w:line="500" w:lineRule="exact"/>
        <w:jc w:val="left"/>
        <w:rPr>
          <w:rFonts w:ascii="宋体" w:hAnsi="宋体"/>
          <w:b/>
          <w:bCs/>
          <w:color w:val="000000"/>
          <w:spacing w:val="20"/>
          <w:sz w:val="32"/>
        </w:rPr>
      </w:pPr>
      <w:r>
        <w:rPr>
          <w:rFonts w:ascii="宋体" w:hAnsi="宋体"/>
          <w:b/>
          <w:bCs/>
          <w:color w:val="000000"/>
          <w:spacing w:val="20"/>
          <w:sz w:val="32"/>
        </w:rPr>
        <w:tab/>
      </w:r>
    </w:p>
    <w:p>
      <w:pPr>
        <w:snapToGrid w:val="0"/>
        <w:spacing w:line="500" w:lineRule="exact"/>
        <w:jc w:val="center"/>
        <w:rPr>
          <w:rFonts w:ascii="宋体" w:hAnsi="宋体"/>
          <w:b/>
          <w:bCs/>
          <w:color w:val="000000"/>
          <w:spacing w:val="20"/>
          <w:sz w:val="32"/>
        </w:rPr>
      </w:pPr>
    </w:p>
    <w:p>
      <w:pPr>
        <w:snapToGrid w:val="0"/>
        <w:spacing w:line="1100" w:lineRule="exact"/>
        <w:rPr>
          <w:rFonts w:ascii="宋体" w:hAnsi="宋体"/>
          <w:b/>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衢院招2021-17</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项目名称：</w:t>
      </w:r>
      <w:r>
        <w:rPr>
          <w:rFonts w:hint="eastAsia" w:ascii="宋体" w:hAnsi="宋体"/>
          <w:b/>
          <w:bCs/>
          <w:color w:val="000000"/>
          <w:sz w:val="32"/>
          <w:szCs w:val="32"/>
        </w:rPr>
        <w:t>机器人基础训练实验设备</w:t>
      </w:r>
    </w:p>
    <w:p>
      <w:pPr>
        <w:snapToGrid w:val="0"/>
        <w:spacing w:line="1100" w:lineRule="exact"/>
        <w:ind w:left="1800" w:hanging="1800" w:hangingChars="500"/>
        <w:rPr>
          <w:rFonts w:ascii="宋体" w:hAnsi="宋体"/>
          <w:color w:val="000000"/>
          <w:sz w:val="32"/>
          <w:szCs w:val="32"/>
        </w:rPr>
      </w:pPr>
      <w:r>
        <w:rPr>
          <w:rFonts w:hint="eastAsia" w:ascii="宋体" w:hAnsi="宋体"/>
          <w:color w:val="000000"/>
          <w:spacing w:val="20"/>
          <w:sz w:val="32"/>
          <w:szCs w:val="32"/>
        </w:rPr>
        <w:t>投标文件名称</w:t>
      </w:r>
      <w:r>
        <w:rPr>
          <w:rFonts w:hint="eastAsia" w:ascii="宋体" w:hAnsi="宋体"/>
          <w:color w:val="000000"/>
          <w:sz w:val="32"/>
          <w:szCs w:val="32"/>
        </w:rPr>
        <w:t>（资格证明文件、商务技术文件、报价文件）</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投标人名称（公章）：</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投标人地址：</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法定代表人或全权代表（签字或盖章）：</w:t>
      </w:r>
    </w:p>
    <w:p>
      <w:pPr>
        <w:rPr>
          <w:rFonts w:ascii="宋体" w:hAnsi="宋体"/>
          <w:bCs/>
          <w:color w:val="000000"/>
        </w:rPr>
      </w:pPr>
    </w:p>
    <w:p>
      <w:pPr>
        <w:rPr>
          <w:rFonts w:ascii="宋体" w:hAnsi="宋体"/>
          <w:bCs/>
          <w:color w:val="000000"/>
        </w:rPr>
      </w:pPr>
    </w:p>
    <w:p>
      <w:pPr>
        <w:spacing w:line="410" w:lineRule="exact"/>
        <w:outlineLvl w:val="1"/>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格式二：</w:t>
      </w:r>
    </w:p>
    <w:p>
      <w:pPr>
        <w:autoSpaceDE w:val="0"/>
        <w:autoSpaceDN w:val="0"/>
        <w:adjustRightInd w:val="0"/>
        <w:spacing w:line="440" w:lineRule="exact"/>
        <w:jc w:val="center"/>
        <w:rPr>
          <w:rFonts w:ascii="宋体" w:hAnsi="宋体"/>
          <w:b/>
          <w:bCs/>
          <w:color w:val="000000"/>
          <w:sz w:val="36"/>
          <w:szCs w:val="36"/>
          <w:lang w:val="zh-CN"/>
        </w:rPr>
      </w:pPr>
      <w:r>
        <w:rPr>
          <w:rFonts w:hint="eastAsia" w:ascii="宋体" w:hAnsi="宋体"/>
          <w:b/>
          <w:bCs/>
          <w:color w:val="000000"/>
          <w:sz w:val="36"/>
          <w:szCs w:val="36"/>
          <w:lang w:val="zh-CN"/>
        </w:rPr>
        <w:t>投 标 函</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left="280" w:hanging="280" w:hangingChars="100"/>
        <w:rPr>
          <w:rFonts w:ascii="宋体" w:hAnsi="宋体"/>
          <w:color w:val="000000"/>
          <w:sz w:val="28"/>
          <w:szCs w:val="28"/>
          <w:lang w:val="zh-CN"/>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u w:val="single"/>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(投标单位全称)授权</w:t>
      </w:r>
    </w:p>
    <w:p>
      <w:pPr>
        <w:autoSpaceDE w:val="0"/>
        <w:autoSpaceDN w:val="0"/>
        <w:adjustRightInd w:val="0"/>
        <w:spacing w:line="360" w:lineRule="auto"/>
        <w:ind w:left="280" w:hanging="280" w:hangingChars="100"/>
        <w:rPr>
          <w:rFonts w:ascii="宋体" w:hAnsi="宋体"/>
          <w:color w:val="000000"/>
          <w:sz w:val="28"/>
          <w:szCs w:val="28"/>
          <w:u w:val="single"/>
          <w:lang w:val="zh-CN"/>
        </w:rPr>
      </w:pPr>
      <w:r>
        <w:rPr>
          <w:rFonts w:hint="eastAsia" w:ascii="宋体" w:hAnsi="宋体"/>
          <w:color w:val="000000"/>
          <w:sz w:val="28"/>
          <w:szCs w:val="28"/>
          <w:u w:val="single"/>
          <w:lang w:val="zh-CN"/>
        </w:rPr>
        <w:t xml:space="preserve">         （全名、职务）</w:t>
      </w:r>
      <w:r>
        <w:rPr>
          <w:rFonts w:hint="eastAsia" w:ascii="宋体" w:hAnsi="宋体"/>
          <w:color w:val="000000"/>
          <w:sz w:val="28"/>
          <w:szCs w:val="28"/>
          <w:lang w:val="zh-CN"/>
        </w:rPr>
        <w:t>为全权代表，参加贵方组织</w:t>
      </w:r>
      <w:r>
        <w:rPr>
          <w:rFonts w:hint="eastAsia" w:ascii="宋体" w:hAnsi="宋体"/>
          <w:b/>
          <w:bCs/>
          <w:color w:val="000000"/>
          <w:sz w:val="28"/>
          <w:szCs w:val="28"/>
          <w:u w:val="single"/>
        </w:rPr>
        <w:t>机器人基础训练实验设备</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衢院招202</w:t>
      </w:r>
      <w:r>
        <w:rPr>
          <w:rFonts w:hint="eastAsia" w:ascii="宋体" w:hAnsi="宋体"/>
          <w:b/>
          <w:color w:val="000000"/>
          <w:sz w:val="28"/>
          <w:szCs w:val="28"/>
          <w:u w:val="single"/>
        </w:rPr>
        <w:t>1</w:t>
      </w:r>
      <w:r>
        <w:rPr>
          <w:rFonts w:hint="eastAsia" w:ascii="宋体" w:hAnsi="宋体"/>
          <w:b/>
          <w:color w:val="000000"/>
          <w:sz w:val="28"/>
          <w:szCs w:val="28"/>
          <w:u w:val="single"/>
          <w:lang w:val="zh-CN"/>
        </w:rPr>
        <w:t>-</w:t>
      </w:r>
      <w:r>
        <w:rPr>
          <w:rFonts w:hint="eastAsia" w:ascii="宋体" w:hAnsi="宋体"/>
          <w:b/>
          <w:color w:val="000000"/>
          <w:sz w:val="28"/>
          <w:szCs w:val="28"/>
          <w:u w:val="single"/>
        </w:rPr>
        <w:t>17</w:t>
      </w:r>
      <w:r>
        <w:rPr>
          <w:rFonts w:hint="eastAsia" w:ascii="宋体" w:hAnsi="宋体"/>
          <w:color w:val="000000"/>
          <w:sz w:val="28"/>
          <w:szCs w:val="28"/>
          <w:lang w:val="zh-CN"/>
        </w:rPr>
        <w:t>）招标有关活动，并进行投标。为此：</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1．提供投标须知规定的全部投标文件。</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2．投标文件有效期为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天。</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5．投标人同意提供按照贵方要求的与其投标有关的一切数据或</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资料，并保证其真实性、合法性。</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6．我方与本投标有关的一切正式来往通讯请寄：</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地址：</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邮编：</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投标人名称：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（公章）</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hint="eastAsia" w:ascii="宋体" w:hAnsi="宋体"/>
          <w:color w:val="000000"/>
          <w:sz w:val="28"/>
          <w:szCs w:val="28"/>
          <w:lang w:val="zh-CN"/>
        </w:rPr>
        <w:t>全权代表签字：</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投标日期：</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spacing w:line="360" w:lineRule="auto"/>
        <w:outlineLvl w:val="1"/>
        <w:rPr>
          <w:rFonts w:ascii="宋体" w:hAnsi="宋体"/>
          <w:b/>
          <w:color w:val="000000"/>
          <w:sz w:val="28"/>
          <w:szCs w:val="28"/>
        </w:rPr>
      </w:pPr>
      <w:r>
        <w:rPr>
          <w:rFonts w:ascii="宋体" w:hAnsi="宋体"/>
          <w:color w:val="000000"/>
          <w:lang w:val="zh-CN"/>
        </w:rPr>
        <w:br w:type="page"/>
      </w:r>
      <w:r>
        <w:rPr>
          <w:rFonts w:hint="eastAsia" w:ascii="宋体" w:hAnsi="宋体"/>
          <w:b/>
          <w:color w:val="000000"/>
          <w:sz w:val="28"/>
          <w:szCs w:val="28"/>
        </w:rPr>
        <w:t>格式三：</w:t>
      </w:r>
    </w:p>
    <w:p>
      <w:pPr>
        <w:autoSpaceDE w:val="0"/>
        <w:autoSpaceDN w:val="0"/>
        <w:adjustRightInd w:val="0"/>
        <w:spacing w:line="360" w:lineRule="auto"/>
        <w:rPr>
          <w:rFonts w:ascii="宋体" w:hAnsi="宋体"/>
          <w:color w:val="000000"/>
          <w:sz w:val="36"/>
          <w:szCs w:val="36"/>
        </w:rPr>
      </w:pPr>
    </w:p>
    <w:p>
      <w:pPr>
        <w:autoSpaceDE w:val="0"/>
        <w:autoSpaceDN w:val="0"/>
        <w:adjustRightInd w:val="0"/>
        <w:spacing w:line="360" w:lineRule="auto"/>
        <w:jc w:val="center"/>
        <w:rPr>
          <w:rFonts w:ascii="宋体" w:hAnsi="宋体"/>
          <w:b/>
          <w:bCs/>
          <w:color w:val="000000"/>
          <w:sz w:val="36"/>
          <w:szCs w:val="36"/>
          <w:lang w:val="zh-CN"/>
        </w:rPr>
      </w:pPr>
      <w:r>
        <w:rPr>
          <w:rFonts w:hint="eastAsia" w:ascii="宋体" w:hAnsi="宋体"/>
          <w:b/>
          <w:bCs/>
          <w:color w:val="000000"/>
          <w:sz w:val="36"/>
          <w:szCs w:val="36"/>
          <w:lang w:val="zh-CN"/>
        </w:rPr>
        <w:t>法定代表人授权书</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firstLine="560" w:firstLineChars="200"/>
        <w:rPr>
          <w:rFonts w:ascii="宋体" w:hAnsi="宋体"/>
          <w:sz w:val="28"/>
          <w:szCs w:val="28"/>
          <w:lang w:val="zh-CN"/>
        </w:rPr>
      </w:pPr>
      <w:r>
        <w:rPr>
          <w:rFonts w:hint="eastAsia" w:ascii="宋体" w:hAnsi="宋体"/>
          <w:color w:val="000000"/>
          <w:sz w:val="28"/>
          <w:szCs w:val="28"/>
          <w:lang w:val="zh-CN"/>
        </w:rPr>
        <w:t>（投标单位全称）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法定代表人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授权</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（全权代表名称）为全权代表，参加贵单位组织的</w:t>
      </w:r>
      <w:r>
        <w:rPr>
          <w:rFonts w:hint="eastAsia" w:ascii="宋体" w:hAnsi="宋体"/>
          <w:b/>
          <w:bCs/>
          <w:color w:val="000000"/>
          <w:sz w:val="28"/>
          <w:szCs w:val="28"/>
          <w:u w:val="single"/>
        </w:rPr>
        <w:t>机器人基础训练实验设备</w:t>
      </w:r>
      <w:r>
        <w:rPr>
          <w:rFonts w:hint="eastAsia" w:ascii="宋体" w:hAnsi="宋体"/>
          <w:b/>
          <w:color w:val="000000"/>
          <w:sz w:val="28"/>
          <w:szCs w:val="28"/>
          <w:u w:val="single"/>
          <w:lang w:val="zh-CN"/>
        </w:rPr>
        <w:t>采购项目</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衢院招202</w:t>
      </w:r>
      <w:r>
        <w:rPr>
          <w:rFonts w:hint="eastAsia" w:ascii="宋体" w:hAnsi="宋体"/>
          <w:b/>
          <w:color w:val="000000"/>
          <w:sz w:val="28"/>
          <w:szCs w:val="28"/>
          <w:u w:val="single"/>
        </w:rPr>
        <w:t>1</w:t>
      </w:r>
      <w:r>
        <w:rPr>
          <w:rFonts w:hint="eastAsia" w:ascii="宋体" w:hAnsi="宋体"/>
          <w:b/>
          <w:color w:val="000000"/>
          <w:sz w:val="28"/>
          <w:szCs w:val="28"/>
          <w:u w:val="single"/>
          <w:lang w:val="zh-CN"/>
        </w:rPr>
        <w:t>-</w:t>
      </w:r>
      <w:r>
        <w:rPr>
          <w:rFonts w:hint="eastAsia" w:ascii="宋体" w:hAnsi="宋体"/>
          <w:b/>
          <w:color w:val="000000"/>
          <w:sz w:val="28"/>
          <w:szCs w:val="28"/>
          <w:u w:val="single"/>
        </w:rPr>
        <w:t>**</w:t>
      </w:r>
      <w:r>
        <w:rPr>
          <w:rFonts w:hint="eastAsia" w:ascii="宋体" w:hAnsi="宋体"/>
          <w:color w:val="000000"/>
          <w:sz w:val="28"/>
          <w:szCs w:val="28"/>
          <w:lang w:val="zh-CN"/>
        </w:rPr>
        <w:t>）招标，</w:t>
      </w:r>
      <w:r>
        <w:rPr>
          <w:rFonts w:hint="eastAsia" w:ascii="宋体" w:hAnsi="宋体"/>
          <w:sz w:val="28"/>
          <w:szCs w:val="28"/>
          <w:lang w:val="zh-CN"/>
        </w:rPr>
        <w:t>并全权处理采购活动中的一切事宜。</w:t>
      </w:r>
    </w:p>
    <w:p>
      <w:pPr>
        <w:snapToGrid w:val="0"/>
        <w:spacing w:line="360" w:lineRule="auto"/>
        <w:rPr>
          <w:rFonts w:ascii="宋体" w:hAnsi="宋体"/>
          <w:sz w:val="28"/>
          <w:szCs w:val="28"/>
          <w:lang w:val="zh-CN"/>
        </w:rPr>
      </w:pPr>
      <w:r>
        <w:rPr>
          <w:rFonts w:hint="eastAsia" w:ascii="宋体" w:hAnsi="宋体"/>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rFonts w:ascii="宋体" w:hAnsi="宋体"/>
          <w:sz w:val="28"/>
          <w:szCs w:val="28"/>
          <w:lang w:val="zh-CN"/>
        </w:rPr>
      </w:pPr>
      <w:r>
        <w:rPr>
          <w:rFonts w:hint="eastAsia" w:ascii="宋体" w:hAnsi="宋体"/>
          <w:sz w:val="28"/>
          <w:szCs w:val="28"/>
          <w:lang w:val="zh-CN"/>
        </w:rPr>
        <w:t xml:space="preserve">全权代表无转委托权，特此委托。                     </w:t>
      </w:r>
    </w:p>
    <w:p>
      <w:pPr>
        <w:autoSpaceDE w:val="0"/>
        <w:autoSpaceDN w:val="0"/>
        <w:adjustRightInd w:val="0"/>
        <w:spacing w:line="460" w:lineRule="exact"/>
        <w:ind w:left="150"/>
        <w:jc w:val="center"/>
        <w:rPr>
          <w:rFonts w:ascii="宋体" w:hAnsi="宋体"/>
          <w:sz w:val="28"/>
          <w:szCs w:val="28"/>
          <w:lang w:val="zh-CN"/>
        </w:rPr>
      </w:pPr>
    </w:p>
    <w:p>
      <w:pPr>
        <w:autoSpaceDE w:val="0"/>
        <w:autoSpaceDN w:val="0"/>
        <w:adjustRightInd w:val="0"/>
        <w:spacing w:line="460" w:lineRule="exact"/>
        <w:ind w:left="150" w:right="560" w:firstLine="4340" w:firstLineChars="1550"/>
        <w:rPr>
          <w:rFonts w:ascii="宋体" w:hAnsi="宋体"/>
          <w:sz w:val="28"/>
          <w:szCs w:val="28"/>
          <w:lang w:val="zh-CN"/>
        </w:rPr>
      </w:pPr>
    </w:p>
    <w:p>
      <w:pPr>
        <w:autoSpaceDE w:val="0"/>
        <w:autoSpaceDN w:val="0"/>
        <w:adjustRightInd w:val="0"/>
        <w:spacing w:line="460" w:lineRule="exact"/>
        <w:ind w:left="150" w:right="560" w:firstLine="4340" w:firstLineChars="1550"/>
        <w:rPr>
          <w:rFonts w:ascii="宋体" w:hAnsi="宋体"/>
          <w:sz w:val="28"/>
          <w:szCs w:val="28"/>
        </w:rPr>
      </w:pPr>
      <w:r>
        <w:rPr>
          <w:rFonts w:hint="eastAsia" w:ascii="宋体" w:hAnsi="宋体"/>
          <w:sz w:val="28"/>
          <w:szCs w:val="28"/>
          <w:lang w:val="zh-CN"/>
        </w:rPr>
        <w:t>法定代表人签字或签章：</w:t>
      </w:r>
    </w:p>
    <w:p>
      <w:pPr>
        <w:autoSpaceDE w:val="0"/>
        <w:autoSpaceDN w:val="0"/>
        <w:adjustRightInd w:val="0"/>
        <w:spacing w:line="360" w:lineRule="auto"/>
        <w:ind w:left="850" w:leftChars="405" w:firstLine="4620" w:firstLineChars="1650"/>
        <w:rPr>
          <w:rFonts w:ascii="宋体" w:hAnsi="宋体"/>
          <w:color w:val="000000"/>
          <w:sz w:val="28"/>
          <w:szCs w:val="28"/>
        </w:rPr>
      </w:pPr>
      <w:r>
        <w:rPr>
          <w:rFonts w:hint="eastAsia" w:ascii="宋体" w:hAnsi="宋体"/>
          <w:color w:val="000000"/>
          <w:sz w:val="28"/>
          <w:szCs w:val="28"/>
          <w:lang w:val="zh-CN"/>
        </w:rPr>
        <w:t>单位公章：</w:t>
      </w:r>
    </w:p>
    <w:p>
      <w:pPr>
        <w:autoSpaceDE w:val="0"/>
        <w:autoSpaceDN w:val="0"/>
        <w:adjustRightInd w:val="0"/>
        <w:spacing w:line="360" w:lineRule="auto"/>
        <w:ind w:left="150" w:firstLine="1680"/>
        <w:jc w:val="right"/>
        <w:rPr>
          <w:rFonts w:ascii="宋体" w:hAnsi="宋体"/>
          <w:color w:val="000000"/>
          <w:sz w:val="28"/>
          <w:szCs w:val="28"/>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autoSpaceDE w:val="0"/>
        <w:autoSpaceDN w:val="0"/>
        <w:adjustRightInd w:val="0"/>
        <w:spacing w:line="360" w:lineRule="auto"/>
        <w:ind w:left="315"/>
        <w:rPr>
          <w:rFonts w:ascii="宋体" w:hAnsi="宋体"/>
          <w:color w:val="000000"/>
          <w:sz w:val="28"/>
          <w:szCs w:val="28"/>
          <w:lang w:val="zh-CN"/>
        </w:rPr>
      </w:pPr>
    </w:p>
    <w:p>
      <w:pPr>
        <w:autoSpaceDE w:val="0"/>
        <w:autoSpaceDN w:val="0"/>
        <w:adjustRightInd w:val="0"/>
        <w:spacing w:line="360" w:lineRule="auto"/>
        <w:ind w:left="315"/>
        <w:rPr>
          <w:rFonts w:ascii="宋体" w:hAnsi="宋体"/>
          <w:sz w:val="28"/>
          <w:szCs w:val="28"/>
        </w:rPr>
      </w:pPr>
      <w:r>
        <w:rPr>
          <w:rFonts w:hint="eastAsia" w:ascii="宋体" w:hAnsi="宋体"/>
          <w:color w:val="000000"/>
          <w:sz w:val="28"/>
          <w:szCs w:val="28"/>
          <w:lang w:val="zh-CN"/>
        </w:rPr>
        <w:t>全权</w:t>
      </w:r>
      <w:r>
        <w:rPr>
          <w:rFonts w:hint="eastAsia" w:ascii="宋体" w:hAnsi="宋体"/>
          <w:sz w:val="28"/>
          <w:szCs w:val="28"/>
          <w:lang w:val="zh-CN"/>
        </w:rPr>
        <w:t>代表姓名：</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lang w:val="zh-CN"/>
        </w:rPr>
      </w:pPr>
      <w:r>
        <w:rPr>
          <w:rFonts w:hint="eastAsia" w:ascii="宋体" w:hAnsi="宋体"/>
          <w:sz w:val="28"/>
          <w:szCs w:val="28"/>
          <w:lang w:val="zh-CN"/>
        </w:rPr>
        <w:t>职务：</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u w:val="single"/>
          <w:lang w:val="zh-CN"/>
        </w:rPr>
      </w:pPr>
      <w:r>
        <w:rPr>
          <w:rFonts w:hint="eastAsia" w:ascii="宋体" w:hAnsi="宋体"/>
          <w:sz w:val="28"/>
          <w:szCs w:val="28"/>
          <w:lang w:val="zh-CN"/>
        </w:rPr>
        <w:t>身份证号码：</w:t>
      </w:r>
      <w:r>
        <w:rPr>
          <w:rFonts w:hint="eastAsia" w:ascii="宋体" w:hAnsi="宋体"/>
          <w:sz w:val="28"/>
          <w:szCs w:val="28"/>
          <w:u w:val="single"/>
          <w:lang w:val="zh-CN"/>
        </w:rPr>
        <w:t xml:space="preserve">                                       </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sz w:val="28"/>
          <w:szCs w:val="28"/>
          <w:lang w:val="zh-CN"/>
        </w:rPr>
        <w:t>详细通讯地址</w:t>
      </w:r>
      <w:r>
        <w:rPr>
          <w:rFonts w:hint="eastAsia" w:ascii="宋体" w:hAnsi="宋体"/>
          <w:color w:val="000000"/>
          <w:sz w:val="28"/>
          <w:szCs w:val="28"/>
          <w:lang w:val="zh-CN"/>
        </w:rPr>
        <w:t>：</w:t>
      </w:r>
      <w:r>
        <w:rPr>
          <w:rFonts w:hint="eastAsia" w:ascii="宋体" w:hAnsi="宋体"/>
          <w:color w:val="000000"/>
          <w:sz w:val="28"/>
          <w:szCs w:val="28"/>
          <w:u w:val="single"/>
          <w:lang w:val="zh-CN"/>
        </w:rPr>
        <w:t xml:space="preserve">                                     </w:t>
      </w:r>
    </w:p>
    <w:p>
      <w:pPr>
        <w:autoSpaceDE w:val="0"/>
        <w:autoSpaceDN w:val="0"/>
        <w:adjustRightInd w:val="0"/>
        <w:spacing w:line="360" w:lineRule="auto"/>
        <w:ind w:left="629" w:hanging="314"/>
        <w:rPr>
          <w:rFonts w:ascii="宋体" w:hAnsi="宋体"/>
          <w:b/>
          <w:color w:val="000000"/>
          <w:sz w:val="28"/>
          <w:szCs w:val="28"/>
        </w:rPr>
      </w:pP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 xml:space="preserve">  邮编：</w:t>
      </w:r>
      <w:r>
        <w:rPr>
          <w:rFonts w:hint="eastAsia" w:ascii="宋体" w:hAnsi="宋体"/>
          <w:color w:val="000000"/>
          <w:sz w:val="28"/>
          <w:szCs w:val="28"/>
          <w:u w:val="single"/>
          <w:lang w:val="zh-CN"/>
        </w:rPr>
        <w:t xml:space="preserve">                       </w:t>
      </w:r>
    </w:p>
    <w:p>
      <w:pPr>
        <w:autoSpaceDE w:val="0"/>
        <w:autoSpaceDN w:val="0"/>
        <w:adjustRightInd w:val="0"/>
        <w:spacing w:line="360" w:lineRule="auto"/>
        <w:rPr>
          <w:rFonts w:ascii="宋体" w:hAnsi="宋体"/>
          <w:b/>
          <w:color w:val="000000"/>
          <w:sz w:val="28"/>
          <w:szCs w:val="28"/>
        </w:rPr>
      </w:pPr>
      <w:r>
        <w:rPr>
          <w:rFonts w:hint="eastAsia" w:ascii="宋体" w:hAnsi="宋体"/>
          <w:b/>
          <w:color w:val="000000"/>
          <w:sz w:val="28"/>
          <w:szCs w:val="28"/>
        </w:rPr>
        <w:t>格式四：</w:t>
      </w:r>
    </w:p>
    <w:p>
      <w:pPr>
        <w:spacing w:line="480" w:lineRule="exact"/>
        <w:jc w:val="center"/>
        <w:rPr>
          <w:rFonts w:ascii="宋体" w:hAnsi="宋体"/>
          <w:b/>
          <w:color w:val="000000"/>
          <w:sz w:val="36"/>
          <w:szCs w:val="36"/>
        </w:rPr>
      </w:pPr>
      <w:r>
        <w:rPr>
          <w:rFonts w:hint="eastAsia" w:ascii="宋体" w:hAnsi="宋体"/>
          <w:b/>
          <w:color w:val="000000"/>
          <w:sz w:val="36"/>
          <w:szCs w:val="36"/>
        </w:rPr>
        <w:t>开标一览表</w:t>
      </w:r>
    </w:p>
    <w:p>
      <w:pPr>
        <w:autoSpaceDE w:val="0"/>
        <w:autoSpaceDN w:val="0"/>
        <w:adjustRightInd w:val="0"/>
        <w:ind w:firstLine="281"/>
        <w:rPr>
          <w:rFonts w:ascii="宋体" w:hAnsi="宋体"/>
          <w:b/>
          <w:bCs/>
          <w:color w:val="000000"/>
          <w:sz w:val="24"/>
          <w:lang w:val="zh-CN"/>
        </w:rPr>
      </w:pPr>
    </w:p>
    <w:p>
      <w:pPr>
        <w:autoSpaceDE w:val="0"/>
        <w:autoSpaceDN w:val="0"/>
        <w:adjustRightInd w:val="0"/>
        <w:spacing w:line="360" w:lineRule="auto"/>
        <w:rPr>
          <w:rFonts w:ascii="宋体" w:hAnsi="宋体"/>
          <w:b/>
          <w:color w:val="000000"/>
          <w:spacing w:val="20"/>
          <w:sz w:val="28"/>
          <w:szCs w:val="28"/>
        </w:rPr>
      </w:pPr>
      <w:r>
        <w:rPr>
          <w:rFonts w:hint="eastAsia" w:ascii="宋体" w:hAnsi="宋体"/>
          <w:b/>
          <w:bCs/>
          <w:color w:val="000000"/>
          <w:spacing w:val="20"/>
          <w:sz w:val="28"/>
          <w:szCs w:val="28"/>
          <w:lang w:val="zh-CN"/>
        </w:rPr>
        <w:t>项目编号：</w:t>
      </w:r>
      <w:r>
        <w:rPr>
          <w:rFonts w:hint="eastAsia" w:ascii="宋体" w:hAnsi="宋体"/>
          <w:b/>
          <w:color w:val="000000"/>
          <w:spacing w:val="20"/>
          <w:sz w:val="28"/>
          <w:szCs w:val="28"/>
          <w:lang w:val="zh-CN"/>
        </w:rPr>
        <w:t>衢院招202</w:t>
      </w:r>
      <w:r>
        <w:rPr>
          <w:rFonts w:ascii="宋体" w:hAnsi="宋体"/>
          <w:b/>
          <w:color w:val="000000"/>
          <w:spacing w:val="20"/>
          <w:sz w:val="28"/>
          <w:szCs w:val="28"/>
          <w:lang w:val="zh-CN"/>
        </w:rPr>
        <w:t>1</w:t>
      </w:r>
      <w:r>
        <w:rPr>
          <w:rFonts w:hint="eastAsia" w:ascii="宋体" w:hAnsi="宋体"/>
          <w:b/>
          <w:color w:val="000000"/>
          <w:spacing w:val="20"/>
          <w:sz w:val="28"/>
          <w:szCs w:val="28"/>
          <w:lang w:val="zh-CN"/>
        </w:rPr>
        <w:t>-</w:t>
      </w:r>
      <w:r>
        <w:rPr>
          <w:rFonts w:hint="eastAsia" w:ascii="宋体" w:hAnsi="宋体"/>
          <w:b/>
          <w:color w:val="000000"/>
          <w:spacing w:val="20"/>
          <w:sz w:val="28"/>
          <w:szCs w:val="28"/>
        </w:rPr>
        <w:t>17</w:t>
      </w:r>
    </w:p>
    <w:p>
      <w:pPr>
        <w:autoSpaceDE w:val="0"/>
        <w:autoSpaceDN w:val="0"/>
        <w:adjustRightInd w:val="0"/>
        <w:spacing w:line="360" w:lineRule="auto"/>
        <w:rPr>
          <w:rFonts w:ascii="宋体" w:hAnsi="宋体"/>
          <w:b/>
          <w:color w:val="000000"/>
          <w:spacing w:val="20"/>
          <w:sz w:val="28"/>
          <w:szCs w:val="28"/>
          <w:u w:val="single"/>
          <w:lang w:val="zh-CN"/>
        </w:rPr>
      </w:pPr>
      <w:r>
        <w:rPr>
          <w:rFonts w:hint="eastAsia" w:ascii="宋体" w:hAnsi="宋体"/>
          <w:b/>
          <w:bCs/>
          <w:color w:val="000000"/>
          <w:spacing w:val="20"/>
          <w:sz w:val="28"/>
          <w:szCs w:val="28"/>
          <w:lang w:val="zh-CN"/>
        </w:rPr>
        <w:t>项目名称：</w:t>
      </w:r>
      <w:r>
        <w:rPr>
          <w:rFonts w:hint="eastAsia" w:ascii="宋体" w:hAnsi="宋体"/>
          <w:b/>
          <w:bCs/>
          <w:color w:val="000000"/>
          <w:spacing w:val="20"/>
          <w:sz w:val="28"/>
          <w:szCs w:val="28"/>
        </w:rPr>
        <w:t>机器人基础训练实验设备</w:t>
      </w:r>
    </w:p>
    <w:p>
      <w:pPr>
        <w:autoSpaceDE w:val="0"/>
        <w:autoSpaceDN w:val="0"/>
        <w:adjustRightInd w:val="0"/>
        <w:ind w:left="1383" w:hanging="1383" w:hangingChars="492"/>
        <w:rPr>
          <w:rFonts w:ascii="宋体" w:hAnsi="宋体"/>
          <w:b/>
          <w:color w:val="000000"/>
          <w:sz w:val="28"/>
          <w:szCs w:val="28"/>
        </w:rPr>
      </w:pP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rFonts w:ascii="宋体" w:hAnsi="宋体"/>
                <w:color w:val="000000"/>
                <w:sz w:val="30"/>
                <w:szCs w:val="30"/>
              </w:rPr>
            </w:pPr>
            <w:r>
              <w:rPr>
                <w:rFonts w:hint="eastAsia" w:ascii="宋体" w:hAnsi="宋体"/>
                <w:color w:val="000000"/>
                <w:sz w:val="30"/>
                <w:szCs w:val="30"/>
              </w:rPr>
              <w:t>序号</w:t>
            </w:r>
          </w:p>
        </w:tc>
        <w:tc>
          <w:tcPr>
            <w:tcW w:w="3620"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报价项目</w:t>
            </w:r>
          </w:p>
        </w:tc>
        <w:tc>
          <w:tcPr>
            <w:tcW w:w="4791"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1</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2</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3</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10"/>
              <w:snapToGrid w:val="0"/>
              <w:spacing w:line="240" w:lineRule="atLeast"/>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4</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10"/>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5</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10"/>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6</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10"/>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7</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10"/>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rFonts w:ascii="宋体" w:hAnsi="宋体"/>
                <w:color w:val="000000"/>
                <w:sz w:val="30"/>
                <w:szCs w:val="30"/>
              </w:rPr>
            </w:pPr>
            <w:r>
              <w:rPr>
                <w:rFonts w:hint="eastAsia" w:ascii="宋体" w:hAnsi="宋体"/>
                <w:b/>
                <w:bCs/>
                <w:color w:val="000000"/>
                <w:sz w:val="30"/>
                <w:szCs w:val="30"/>
                <w:lang w:val="zh-CN"/>
              </w:rPr>
              <w:t>合计总价（大写）</w:t>
            </w:r>
          </w:p>
        </w:tc>
        <w:tc>
          <w:tcPr>
            <w:tcW w:w="4791" w:type="dxa"/>
            <w:vAlign w:val="center"/>
          </w:tcPr>
          <w:p>
            <w:pPr>
              <w:pStyle w:val="10"/>
              <w:snapToGrid w:val="0"/>
              <w:spacing w:line="240" w:lineRule="atLeast"/>
              <w:ind w:firstLine="300" w:firstLineChars="100"/>
              <w:jc w:val="center"/>
              <w:rPr>
                <w:rFonts w:hAnsi="宋体"/>
                <w:color w:val="000000"/>
                <w:kern w:val="2"/>
                <w:sz w:val="30"/>
                <w:szCs w:val="30"/>
              </w:rPr>
            </w:pPr>
          </w:p>
        </w:tc>
      </w:tr>
    </w:tbl>
    <w:p>
      <w:pPr>
        <w:pStyle w:val="10"/>
        <w:shd w:val="clear" w:color="auto" w:fill="FFFFFF"/>
        <w:spacing w:line="360" w:lineRule="auto"/>
        <w:rPr>
          <w:rFonts w:hAnsi="宋体"/>
          <w:b/>
          <w:bCs/>
          <w:color w:val="000000"/>
          <w:sz w:val="24"/>
        </w:rPr>
      </w:pPr>
      <w:r>
        <w:rPr>
          <w:rFonts w:hAnsi="宋体"/>
          <w:b/>
          <w:bCs/>
          <w:color w:val="000000"/>
          <w:sz w:val="24"/>
        </w:rPr>
        <w:t>备注：</w:t>
      </w:r>
    </w:p>
    <w:p>
      <w:pPr>
        <w:widowControl/>
        <w:numPr>
          <w:ilvl w:val="0"/>
          <w:numId w:val="8"/>
        </w:numPr>
        <w:shd w:val="clear" w:color="auto" w:fill="FFFFFF"/>
        <w:tabs>
          <w:tab w:val="left" w:pos="720"/>
        </w:tabs>
        <w:adjustRightInd w:val="0"/>
        <w:spacing w:line="500" w:lineRule="exact"/>
        <w:ind w:right="17" w:rightChars="8"/>
        <w:jc w:val="left"/>
        <w:rPr>
          <w:rFonts w:ascii="宋体" w:hAnsi="宋体"/>
          <w:b/>
          <w:bCs/>
          <w:color w:val="000000"/>
          <w:sz w:val="24"/>
        </w:rPr>
      </w:pPr>
      <w:r>
        <w:rPr>
          <w:rFonts w:hint="eastAsia" w:ascii="宋体" w:hAnsi="宋体"/>
          <w:color w:val="000000"/>
          <w:sz w:val="24"/>
        </w:rPr>
        <w:t>报价为报价人所能承受的一次性最终报价，以人民币为结算币种，包括</w:t>
      </w:r>
      <w:r>
        <w:rPr>
          <w:rFonts w:hint="eastAsia" w:ascii="宋体" w:hAnsi="宋体"/>
          <w:b/>
          <w:bCs/>
          <w:color w:val="000000"/>
          <w:sz w:val="24"/>
        </w:rPr>
        <w:t>产品购置、</w:t>
      </w:r>
    </w:p>
    <w:p>
      <w:pPr>
        <w:widowControl/>
        <w:shd w:val="clear" w:color="auto" w:fill="FFFFFF"/>
        <w:tabs>
          <w:tab w:val="left" w:pos="720"/>
          <w:tab w:val="left" w:pos="814"/>
        </w:tabs>
        <w:adjustRightInd w:val="0"/>
        <w:spacing w:line="500" w:lineRule="exact"/>
        <w:ind w:right="17" w:rightChars="8"/>
        <w:jc w:val="left"/>
        <w:rPr>
          <w:rFonts w:ascii="宋体" w:hAnsi="宋体"/>
          <w:b/>
          <w:bCs/>
          <w:color w:val="000000"/>
          <w:sz w:val="24"/>
        </w:rPr>
      </w:pPr>
      <w:r>
        <w:rPr>
          <w:rFonts w:hint="eastAsia" w:ascii="宋体" w:hAnsi="宋体"/>
          <w:b/>
          <w:bCs/>
          <w:color w:val="000000"/>
          <w:sz w:val="24"/>
        </w:rPr>
        <w:t>运输、安装、施工、调试、售后服务、税费等一切费用</w:t>
      </w:r>
      <w:r>
        <w:rPr>
          <w:rFonts w:hint="eastAsia" w:ascii="宋体" w:hAnsi="宋体"/>
          <w:color w:val="000000"/>
          <w:sz w:val="24"/>
        </w:rPr>
        <w:t>，即按招标人要求完成项目的完工价格，并由中标单位开具正式发票。</w:t>
      </w:r>
    </w:p>
    <w:p>
      <w:pPr>
        <w:pStyle w:val="10"/>
        <w:shd w:val="clear" w:color="auto" w:fill="FFFFFF"/>
        <w:spacing w:line="500" w:lineRule="exact"/>
        <w:ind w:firstLine="480" w:firstLineChars="200"/>
        <w:rPr>
          <w:rFonts w:hAnsi="宋体"/>
          <w:color w:val="000000"/>
          <w:sz w:val="24"/>
        </w:rPr>
      </w:pPr>
      <w:r>
        <w:rPr>
          <w:rFonts w:hint="eastAsia" w:hAnsi="宋体"/>
          <w:color w:val="000000"/>
          <w:sz w:val="24"/>
        </w:rPr>
        <w:t>2.</w:t>
      </w:r>
      <w:r>
        <w:rPr>
          <w:rFonts w:hAnsi="宋体"/>
          <w:color w:val="000000"/>
          <w:sz w:val="24"/>
        </w:rPr>
        <w:t>此表可在不改变格式的情况下自行添加行数。</w:t>
      </w:r>
    </w:p>
    <w:p>
      <w:pPr>
        <w:pStyle w:val="10"/>
        <w:shd w:val="clear" w:color="auto" w:fill="FFFFFF"/>
        <w:spacing w:line="500" w:lineRule="exact"/>
        <w:ind w:left="814"/>
        <w:rPr>
          <w:rFonts w:hAnsi="宋体"/>
          <w:b/>
          <w:bCs/>
          <w:color w:val="000000"/>
          <w:sz w:val="24"/>
        </w:rPr>
      </w:pPr>
    </w:p>
    <w:p>
      <w:pPr>
        <w:autoSpaceDE w:val="0"/>
        <w:autoSpaceDN w:val="0"/>
        <w:adjustRightInd w:val="0"/>
        <w:spacing w:line="360" w:lineRule="auto"/>
        <w:ind w:firstLine="280"/>
        <w:rPr>
          <w:rFonts w:ascii="宋体" w:hAnsi="宋体"/>
          <w:color w:val="000000"/>
          <w:sz w:val="28"/>
          <w:szCs w:val="28"/>
        </w:rPr>
      </w:pPr>
      <w:r>
        <w:rPr>
          <w:rFonts w:hint="eastAsia" w:ascii="宋体" w:hAnsi="宋体"/>
          <w:color w:val="000000"/>
          <w:sz w:val="28"/>
          <w:szCs w:val="28"/>
          <w:lang w:val="zh-CN"/>
        </w:rPr>
        <w:t xml:space="preserve">投标人（公章）：                     </w:t>
      </w:r>
    </w:p>
    <w:p>
      <w:pPr>
        <w:autoSpaceDE w:val="0"/>
        <w:autoSpaceDN w:val="0"/>
        <w:adjustRightInd w:val="0"/>
        <w:spacing w:line="360" w:lineRule="auto"/>
        <w:ind w:firstLine="280"/>
        <w:rPr>
          <w:rFonts w:ascii="宋体" w:hAnsi="宋体"/>
          <w:b/>
          <w:color w:val="000000"/>
          <w:sz w:val="28"/>
          <w:szCs w:val="28"/>
        </w:rPr>
      </w:pPr>
      <w:r>
        <w:rPr>
          <w:rFonts w:hint="eastAsia" w:ascii="宋体" w:hAnsi="宋体"/>
          <w:color w:val="000000"/>
          <w:sz w:val="28"/>
          <w:szCs w:val="28"/>
          <w:lang w:val="zh-CN"/>
        </w:rPr>
        <w:t>投标人全权代表签字：             职务：         日期：</w:t>
      </w:r>
      <w:r>
        <w:rPr>
          <w:rFonts w:ascii="宋体" w:hAnsi="宋体"/>
          <w:b/>
          <w:color w:val="000000"/>
          <w:szCs w:val="32"/>
        </w:rPr>
        <w:br w:type="page"/>
      </w:r>
      <w:r>
        <w:rPr>
          <w:rFonts w:hint="eastAsia" w:ascii="宋体" w:hAnsi="宋体"/>
          <w:b/>
          <w:color w:val="000000"/>
          <w:sz w:val="28"/>
          <w:szCs w:val="28"/>
          <w:lang w:val="zh-CN"/>
        </w:rPr>
        <w:t>格式五：</w:t>
      </w:r>
    </w:p>
    <w:p>
      <w:pPr>
        <w:spacing w:line="480" w:lineRule="exact"/>
        <w:ind w:left="480"/>
        <w:jc w:val="center"/>
        <w:rPr>
          <w:rFonts w:ascii="宋体" w:hAnsi="宋体"/>
          <w:b/>
          <w:color w:val="000000"/>
          <w:sz w:val="36"/>
          <w:szCs w:val="36"/>
        </w:rPr>
      </w:pPr>
      <w:r>
        <w:rPr>
          <w:rFonts w:hint="eastAsia" w:ascii="宋体" w:hAnsi="宋体"/>
          <w:b/>
          <w:color w:val="000000"/>
          <w:sz w:val="36"/>
          <w:szCs w:val="36"/>
        </w:rPr>
        <w:t>货物清单及报价明细表</w:t>
      </w:r>
    </w:p>
    <w:p>
      <w:pPr>
        <w:snapToGrid w:val="0"/>
        <w:spacing w:line="360" w:lineRule="auto"/>
        <w:rPr>
          <w:rFonts w:ascii="宋体" w:hAnsi="宋体"/>
          <w:color w:val="000000"/>
          <w:spacing w:val="20"/>
          <w:sz w:val="32"/>
          <w:szCs w:val="32"/>
        </w:rPr>
      </w:pP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衢院招2021-17</w:t>
      </w:r>
    </w:p>
    <w:p>
      <w:pPr>
        <w:snapToGrid w:val="0"/>
        <w:spacing w:line="360" w:lineRule="auto"/>
        <w:rPr>
          <w:rFonts w:ascii="宋体" w:hAnsi="宋体"/>
          <w:b/>
          <w:color w:val="000000"/>
          <w:spacing w:val="20"/>
          <w:sz w:val="32"/>
          <w:szCs w:val="32"/>
          <w:lang w:val="zh-CN"/>
        </w:rPr>
      </w:pPr>
      <w:r>
        <w:rPr>
          <w:rFonts w:hint="eastAsia" w:ascii="宋体" w:hAnsi="宋体"/>
          <w:color w:val="000000"/>
          <w:spacing w:val="20"/>
          <w:sz w:val="32"/>
          <w:szCs w:val="32"/>
        </w:rPr>
        <w:t>项目名称：</w:t>
      </w:r>
      <w:r>
        <w:rPr>
          <w:rFonts w:hint="eastAsia" w:ascii="宋体" w:hAnsi="宋体"/>
          <w:b/>
          <w:bCs/>
          <w:color w:val="000000"/>
          <w:spacing w:val="20"/>
          <w:sz w:val="32"/>
          <w:szCs w:val="32"/>
        </w:rPr>
        <w:t>机器人基础训练实验设备</w:t>
      </w:r>
    </w:p>
    <w:p>
      <w:pPr>
        <w:spacing w:line="480" w:lineRule="exact"/>
        <w:ind w:left="480"/>
        <w:rPr>
          <w:rFonts w:ascii="宋体" w:hAnsi="宋体"/>
          <w:bCs/>
          <w:color w:val="000000"/>
          <w:sz w:val="28"/>
          <w:szCs w:val="28"/>
        </w:rPr>
      </w:pPr>
    </w:p>
    <w:tbl>
      <w:tblPr>
        <w:tblStyle w:val="1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序号</w:t>
            </w:r>
          </w:p>
        </w:tc>
        <w:tc>
          <w:tcPr>
            <w:tcW w:w="1260" w:type="dxa"/>
            <w:vAlign w:val="center"/>
          </w:tcPr>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货物</w:t>
            </w:r>
          </w:p>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名称</w:t>
            </w:r>
          </w:p>
        </w:tc>
        <w:tc>
          <w:tcPr>
            <w:tcW w:w="540" w:type="dxa"/>
            <w:vAlign w:val="center"/>
          </w:tcPr>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单位</w:t>
            </w:r>
          </w:p>
        </w:tc>
        <w:tc>
          <w:tcPr>
            <w:tcW w:w="540" w:type="dxa"/>
            <w:vAlign w:val="center"/>
          </w:tcPr>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数量</w:t>
            </w:r>
          </w:p>
        </w:tc>
        <w:tc>
          <w:tcPr>
            <w:tcW w:w="1260" w:type="dxa"/>
            <w:vAlign w:val="center"/>
          </w:tcPr>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品牌</w:t>
            </w:r>
          </w:p>
        </w:tc>
        <w:tc>
          <w:tcPr>
            <w:tcW w:w="2340" w:type="dxa"/>
            <w:vAlign w:val="center"/>
          </w:tcPr>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规格型号</w:t>
            </w:r>
          </w:p>
        </w:tc>
        <w:tc>
          <w:tcPr>
            <w:tcW w:w="1045" w:type="dxa"/>
            <w:vAlign w:val="center"/>
          </w:tcPr>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单价</w:t>
            </w:r>
          </w:p>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992" w:type="dxa"/>
            <w:vAlign w:val="center"/>
          </w:tcPr>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总价</w:t>
            </w:r>
          </w:p>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663" w:type="dxa"/>
            <w:vAlign w:val="center"/>
          </w:tcPr>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rFonts w:ascii="宋体" w:hAnsi="宋体"/>
                <w:color w:val="000000"/>
                <w:sz w:val="28"/>
                <w:szCs w:val="28"/>
              </w:rPr>
            </w:pPr>
            <w:r>
              <w:rPr>
                <w:rFonts w:hint="eastAsia" w:ascii="宋体" w:hAnsi="宋体"/>
                <w:color w:val="000000"/>
                <w:sz w:val="28"/>
                <w:szCs w:val="28"/>
              </w:rPr>
              <w:t>1</w:t>
            </w:r>
          </w:p>
        </w:tc>
        <w:tc>
          <w:tcPr>
            <w:tcW w:w="126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1260" w:type="dxa"/>
            <w:vAlign w:val="center"/>
          </w:tcPr>
          <w:p>
            <w:pPr>
              <w:pStyle w:val="5"/>
              <w:spacing w:line="400" w:lineRule="exact"/>
              <w:jc w:val="center"/>
              <w:rPr>
                <w:rFonts w:ascii="宋体" w:hAnsi="宋体"/>
                <w:color w:val="000000"/>
                <w:sz w:val="28"/>
                <w:szCs w:val="28"/>
              </w:rPr>
            </w:pPr>
          </w:p>
        </w:tc>
        <w:tc>
          <w:tcPr>
            <w:tcW w:w="2340" w:type="dxa"/>
            <w:vAlign w:val="center"/>
          </w:tcPr>
          <w:p>
            <w:pPr>
              <w:pStyle w:val="5"/>
              <w:spacing w:line="400" w:lineRule="exact"/>
              <w:jc w:val="center"/>
              <w:rPr>
                <w:rFonts w:ascii="宋体" w:hAnsi="宋体"/>
                <w:color w:val="000000"/>
                <w:sz w:val="28"/>
                <w:szCs w:val="28"/>
              </w:rPr>
            </w:pPr>
          </w:p>
        </w:tc>
        <w:tc>
          <w:tcPr>
            <w:tcW w:w="1045" w:type="dxa"/>
            <w:vAlign w:val="center"/>
          </w:tcPr>
          <w:p>
            <w:pPr>
              <w:pStyle w:val="5"/>
              <w:spacing w:line="400" w:lineRule="exact"/>
              <w:jc w:val="center"/>
              <w:rPr>
                <w:rFonts w:ascii="宋体" w:hAnsi="宋体"/>
                <w:color w:val="000000"/>
                <w:sz w:val="28"/>
                <w:szCs w:val="28"/>
              </w:rPr>
            </w:pPr>
          </w:p>
        </w:tc>
        <w:tc>
          <w:tcPr>
            <w:tcW w:w="992" w:type="dxa"/>
            <w:vAlign w:val="center"/>
          </w:tcPr>
          <w:p>
            <w:pPr>
              <w:pStyle w:val="5"/>
              <w:spacing w:line="400" w:lineRule="exact"/>
              <w:jc w:val="center"/>
              <w:rPr>
                <w:rFonts w:ascii="宋体" w:hAnsi="宋体"/>
                <w:color w:val="000000"/>
                <w:sz w:val="28"/>
                <w:szCs w:val="28"/>
              </w:rPr>
            </w:pPr>
          </w:p>
        </w:tc>
        <w:tc>
          <w:tcPr>
            <w:tcW w:w="663" w:type="dxa"/>
            <w:vAlign w:val="center"/>
          </w:tcPr>
          <w:p>
            <w:pPr>
              <w:pStyle w:val="5"/>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rFonts w:ascii="宋体" w:hAnsi="宋体"/>
                <w:color w:val="000000"/>
                <w:sz w:val="28"/>
                <w:szCs w:val="28"/>
              </w:rPr>
            </w:pPr>
          </w:p>
        </w:tc>
        <w:tc>
          <w:tcPr>
            <w:tcW w:w="126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1260" w:type="dxa"/>
            <w:vAlign w:val="center"/>
          </w:tcPr>
          <w:p>
            <w:pPr>
              <w:pStyle w:val="5"/>
              <w:spacing w:line="400" w:lineRule="exact"/>
              <w:jc w:val="center"/>
              <w:rPr>
                <w:rFonts w:ascii="宋体" w:hAnsi="宋体"/>
                <w:color w:val="000000"/>
                <w:sz w:val="28"/>
                <w:szCs w:val="28"/>
              </w:rPr>
            </w:pPr>
          </w:p>
        </w:tc>
        <w:tc>
          <w:tcPr>
            <w:tcW w:w="2340" w:type="dxa"/>
            <w:vAlign w:val="center"/>
          </w:tcPr>
          <w:p>
            <w:pPr>
              <w:pStyle w:val="5"/>
              <w:spacing w:line="400" w:lineRule="exact"/>
              <w:jc w:val="center"/>
              <w:rPr>
                <w:rFonts w:ascii="宋体" w:hAnsi="宋体"/>
                <w:color w:val="000000"/>
                <w:sz w:val="28"/>
                <w:szCs w:val="28"/>
              </w:rPr>
            </w:pPr>
          </w:p>
        </w:tc>
        <w:tc>
          <w:tcPr>
            <w:tcW w:w="1045" w:type="dxa"/>
            <w:vAlign w:val="center"/>
          </w:tcPr>
          <w:p>
            <w:pPr>
              <w:pStyle w:val="5"/>
              <w:spacing w:line="400" w:lineRule="exact"/>
              <w:jc w:val="center"/>
              <w:rPr>
                <w:rFonts w:ascii="宋体" w:hAnsi="宋体"/>
                <w:color w:val="000000"/>
                <w:sz w:val="28"/>
                <w:szCs w:val="28"/>
              </w:rPr>
            </w:pPr>
          </w:p>
        </w:tc>
        <w:tc>
          <w:tcPr>
            <w:tcW w:w="992" w:type="dxa"/>
            <w:vAlign w:val="center"/>
          </w:tcPr>
          <w:p>
            <w:pPr>
              <w:pStyle w:val="5"/>
              <w:spacing w:line="400" w:lineRule="exact"/>
              <w:jc w:val="center"/>
              <w:rPr>
                <w:rFonts w:ascii="宋体" w:hAnsi="宋体"/>
                <w:color w:val="000000"/>
                <w:sz w:val="28"/>
                <w:szCs w:val="28"/>
              </w:rPr>
            </w:pPr>
          </w:p>
        </w:tc>
        <w:tc>
          <w:tcPr>
            <w:tcW w:w="663" w:type="dxa"/>
            <w:vAlign w:val="center"/>
          </w:tcPr>
          <w:p>
            <w:pPr>
              <w:pStyle w:val="5"/>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rFonts w:ascii="宋体" w:hAnsi="宋体"/>
                <w:color w:val="000000"/>
                <w:sz w:val="28"/>
                <w:szCs w:val="28"/>
              </w:rPr>
            </w:pPr>
          </w:p>
        </w:tc>
        <w:tc>
          <w:tcPr>
            <w:tcW w:w="126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1260" w:type="dxa"/>
            <w:vAlign w:val="center"/>
          </w:tcPr>
          <w:p>
            <w:pPr>
              <w:pStyle w:val="5"/>
              <w:spacing w:line="400" w:lineRule="exact"/>
              <w:jc w:val="center"/>
              <w:rPr>
                <w:rFonts w:ascii="宋体" w:hAnsi="宋体"/>
                <w:color w:val="000000"/>
                <w:sz w:val="28"/>
                <w:szCs w:val="28"/>
              </w:rPr>
            </w:pPr>
          </w:p>
        </w:tc>
        <w:tc>
          <w:tcPr>
            <w:tcW w:w="2340" w:type="dxa"/>
            <w:vAlign w:val="center"/>
          </w:tcPr>
          <w:p>
            <w:pPr>
              <w:pStyle w:val="5"/>
              <w:spacing w:line="400" w:lineRule="exact"/>
              <w:jc w:val="center"/>
              <w:rPr>
                <w:rFonts w:ascii="宋体" w:hAnsi="宋体"/>
                <w:color w:val="000000"/>
                <w:sz w:val="28"/>
                <w:szCs w:val="28"/>
              </w:rPr>
            </w:pPr>
          </w:p>
        </w:tc>
        <w:tc>
          <w:tcPr>
            <w:tcW w:w="1045" w:type="dxa"/>
            <w:vAlign w:val="center"/>
          </w:tcPr>
          <w:p>
            <w:pPr>
              <w:pStyle w:val="5"/>
              <w:spacing w:line="400" w:lineRule="exact"/>
              <w:jc w:val="center"/>
              <w:rPr>
                <w:rFonts w:ascii="宋体" w:hAnsi="宋体"/>
                <w:color w:val="000000"/>
                <w:sz w:val="28"/>
                <w:szCs w:val="28"/>
              </w:rPr>
            </w:pPr>
          </w:p>
        </w:tc>
        <w:tc>
          <w:tcPr>
            <w:tcW w:w="992" w:type="dxa"/>
            <w:vAlign w:val="center"/>
          </w:tcPr>
          <w:p>
            <w:pPr>
              <w:pStyle w:val="5"/>
              <w:spacing w:line="400" w:lineRule="exact"/>
              <w:jc w:val="center"/>
              <w:rPr>
                <w:rFonts w:ascii="宋体" w:hAnsi="宋体"/>
                <w:color w:val="000000"/>
                <w:sz w:val="28"/>
                <w:szCs w:val="28"/>
              </w:rPr>
            </w:pPr>
          </w:p>
        </w:tc>
        <w:tc>
          <w:tcPr>
            <w:tcW w:w="663" w:type="dxa"/>
            <w:vAlign w:val="center"/>
          </w:tcPr>
          <w:p>
            <w:pPr>
              <w:pStyle w:val="5"/>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rFonts w:ascii="宋体" w:hAnsi="宋体"/>
                <w:color w:val="000000"/>
                <w:sz w:val="28"/>
                <w:szCs w:val="28"/>
              </w:rPr>
            </w:pPr>
          </w:p>
        </w:tc>
        <w:tc>
          <w:tcPr>
            <w:tcW w:w="126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1260" w:type="dxa"/>
            <w:vAlign w:val="center"/>
          </w:tcPr>
          <w:p>
            <w:pPr>
              <w:pStyle w:val="5"/>
              <w:spacing w:line="400" w:lineRule="exact"/>
              <w:jc w:val="center"/>
              <w:rPr>
                <w:rFonts w:ascii="宋体" w:hAnsi="宋体"/>
                <w:color w:val="000000"/>
                <w:sz w:val="28"/>
                <w:szCs w:val="28"/>
              </w:rPr>
            </w:pPr>
          </w:p>
        </w:tc>
        <w:tc>
          <w:tcPr>
            <w:tcW w:w="2340" w:type="dxa"/>
            <w:vAlign w:val="center"/>
          </w:tcPr>
          <w:p>
            <w:pPr>
              <w:pStyle w:val="5"/>
              <w:spacing w:line="400" w:lineRule="exact"/>
              <w:jc w:val="center"/>
              <w:rPr>
                <w:rFonts w:ascii="宋体" w:hAnsi="宋体"/>
                <w:color w:val="000000"/>
                <w:sz w:val="28"/>
                <w:szCs w:val="28"/>
              </w:rPr>
            </w:pPr>
          </w:p>
        </w:tc>
        <w:tc>
          <w:tcPr>
            <w:tcW w:w="1045" w:type="dxa"/>
            <w:vAlign w:val="center"/>
          </w:tcPr>
          <w:p>
            <w:pPr>
              <w:pStyle w:val="5"/>
              <w:spacing w:line="400" w:lineRule="exact"/>
              <w:jc w:val="center"/>
              <w:rPr>
                <w:rFonts w:ascii="宋体" w:hAnsi="宋体"/>
                <w:color w:val="000000"/>
                <w:sz w:val="28"/>
                <w:szCs w:val="28"/>
              </w:rPr>
            </w:pPr>
          </w:p>
        </w:tc>
        <w:tc>
          <w:tcPr>
            <w:tcW w:w="992" w:type="dxa"/>
            <w:vAlign w:val="center"/>
          </w:tcPr>
          <w:p>
            <w:pPr>
              <w:pStyle w:val="5"/>
              <w:spacing w:line="400" w:lineRule="exact"/>
              <w:jc w:val="center"/>
              <w:rPr>
                <w:rFonts w:ascii="宋体" w:hAnsi="宋体"/>
                <w:color w:val="000000"/>
                <w:sz w:val="28"/>
                <w:szCs w:val="28"/>
              </w:rPr>
            </w:pPr>
          </w:p>
        </w:tc>
        <w:tc>
          <w:tcPr>
            <w:tcW w:w="663" w:type="dxa"/>
            <w:vAlign w:val="center"/>
          </w:tcPr>
          <w:p>
            <w:pPr>
              <w:pStyle w:val="5"/>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rFonts w:ascii="宋体" w:hAnsi="宋体"/>
                <w:color w:val="000000"/>
                <w:sz w:val="28"/>
                <w:szCs w:val="28"/>
              </w:rPr>
            </w:pPr>
          </w:p>
        </w:tc>
        <w:tc>
          <w:tcPr>
            <w:tcW w:w="126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1260" w:type="dxa"/>
            <w:vAlign w:val="center"/>
          </w:tcPr>
          <w:p>
            <w:pPr>
              <w:pStyle w:val="5"/>
              <w:spacing w:line="400" w:lineRule="exact"/>
              <w:jc w:val="center"/>
              <w:rPr>
                <w:rFonts w:ascii="宋体" w:hAnsi="宋体"/>
                <w:color w:val="000000"/>
                <w:sz w:val="28"/>
                <w:szCs w:val="28"/>
              </w:rPr>
            </w:pPr>
          </w:p>
        </w:tc>
        <w:tc>
          <w:tcPr>
            <w:tcW w:w="2340" w:type="dxa"/>
            <w:vAlign w:val="center"/>
          </w:tcPr>
          <w:p>
            <w:pPr>
              <w:pStyle w:val="5"/>
              <w:spacing w:line="400" w:lineRule="exact"/>
              <w:jc w:val="center"/>
              <w:rPr>
                <w:rFonts w:ascii="宋体" w:hAnsi="宋体"/>
                <w:color w:val="000000"/>
                <w:sz w:val="28"/>
                <w:szCs w:val="28"/>
              </w:rPr>
            </w:pPr>
          </w:p>
        </w:tc>
        <w:tc>
          <w:tcPr>
            <w:tcW w:w="1045" w:type="dxa"/>
            <w:vAlign w:val="center"/>
          </w:tcPr>
          <w:p>
            <w:pPr>
              <w:pStyle w:val="5"/>
              <w:spacing w:line="400" w:lineRule="exact"/>
              <w:jc w:val="center"/>
              <w:rPr>
                <w:rFonts w:ascii="宋体" w:hAnsi="宋体"/>
                <w:color w:val="000000"/>
                <w:sz w:val="28"/>
                <w:szCs w:val="28"/>
              </w:rPr>
            </w:pPr>
          </w:p>
        </w:tc>
        <w:tc>
          <w:tcPr>
            <w:tcW w:w="992" w:type="dxa"/>
            <w:vAlign w:val="center"/>
          </w:tcPr>
          <w:p>
            <w:pPr>
              <w:pStyle w:val="5"/>
              <w:spacing w:line="400" w:lineRule="exact"/>
              <w:jc w:val="center"/>
              <w:rPr>
                <w:rFonts w:ascii="宋体" w:hAnsi="宋体"/>
                <w:color w:val="000000"/>
                <w:sz w:val="28"/>
                <w:szCs w:val="28"/>
              </w:rPr>
            </w:pPr>
          </w:p>
        </w:tc>
        <w:tc>
          <w:tcPr>
            <w:tcW w:w="663" w:type="dxa"/>
            <w:vAlign w:val="center"/>
          </w:tcPr>
          <w:p>
            <w:pPr>
              <w:pStyle w:val="5"/>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rFonts w:ascii="宋体" w:hAnsi="宋体"/>
                <w:color w:val="000000"/>
                <w:sz w:val="28"/>
                <w:szCs w:val="28"/>
              </w:rPr>
            </w:pPr>
          </w:p>
        </w:tc>
        <w:tc>
          <w:tcPr>
            <w:tcW w:w="126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1260" w:type="dxa"/>
            <w:vAlign w:val="center"/>
          </w:tcPr>
          <w:p>
            <w:pPr>
              <w:pStyle w:val="5"/>
              <w:spacing w:line="400" w:lineRule="exact"/>
              <w:jc w:val="center"/>
              <w:rPr>
                <w:rFonts w:ascii="宋体" w:hAnsi="宋体"/>
                <w:color w:val="000000"/>
                <w:sz w:val="28"/>
                <w:szCs w:val="28"/>
              </w:rPr>
            </w:pPr>
          </w:p>
        </w:tc>
        <w:tc>
          <w:tcPr>
            <w:tcW w:w="2340" w:type="dxa"/>
            <w:vAlign w:val="center"/>
          </w:tcPr>
          <w:p>
            <w:pPr>
              <w:pStyle w:val="5"/>
              <w:spacing w:line="400" w:lineRule="exact"/>
              <w:jc w:val="center"/>
              <w:rPr>
                <w:rFonts w:ascii="宋体" w:hAnsi="宋体"/>
                <w:color w:val="000000"/>
                <w:sz w:val="28"/>
                <w:szCs w:val="28"/>
              </w:rPr>
            </w:pPr>
          </w:p>
        </w:tc>
        <w:tc>
          <w:tcPr>
            <w:tcW w:w="1045" w:type="dxa"/>
            <w:vAlign w:val="center"/>
          </w:tcPr>
          <w:p>
            <w:pPr>
              <w:pStyle w:val="5"/>
              <w:spacing w:line="400" w:lineRule="exact"/>
              <w:jc w:val="center"/>
              <w:rPr>
                <w:rFonts w:ascii="宋体" w:hAnsi="宋体"/>
                <w:color w:val="000000"/>
                <w:sz w:val="28"/>
                <w:szCs w:val="28"/>
              </w:rPr>
            </w:pPr>
          </w:p>
        </w:tc>
        <w:tc>
          <w:tcPr>
            <w:tcW w:w="992" w:type="dxa"/>
            <w:vAlign w:val="center"/>
          </w:tcPr>
          <w:p>
            <w:pPr>
              <w:pStyle w:val="5"/>
              <w:spacing w:line="400" w:lineRule="exact"/>
              <w:jc w:val="center"/>
              <w:rPr>
                <w:rFonts w:ascii="宋体" w:hAnsi="宋体"/>
                <w:color w:val="000000"/>
                <w:sz w:val="28"/>
                <w:szCs w:val="28"/>
              </w:rPr>
            </w:pPr>
          </w:p>
        </w:tc>
        <w:tc>
          <w:tcPr>
            <w:tcW w:w="663" w:type="dxa"/>
            <w:vAlign w:val="center"/>
          </w:tcPr>
          <w:p>
            <w:pPr>
              <w:pStyle w:val="5"/>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5"/>
              <w:spacing w:line="400" w:lineRule="exact"/>
              <w:rPr>
                <w:rFonts w:ascii="宋体" w:hAnsi="宋体"/>
                <w:color w:val="000000"/>
                <w:sz w:val="28"/>
                <w:szCs w:val="28"/>
              </w:rPr>
            </w:pPr>
            <w:r>
              <w:rPr>
                <w:rFonts w:hint="eastAsia" w:ascii="宋体" w:hAnsi="宋体"/>
                <w:color w:val="000000"/>
                <w:sz w:val="28"/>
                <w:szCs w:val="28"/>
              </w:rPr>
              <w:t>合 计</w:t>
            </w:r>
          </w:p>
          <w:p>
            <w:pPr>
              <w:pStyle w:val="5"/>
              <w:spacing w:line="400" w:lineRule="exact"/>
              <w:ind w:firstLine="280" w:firstLineChars="100"/>
              <w:rPr>
                <w:rFonts w:ascii="宋体" w:hAnsi="宋体"/>
                <w:color w:val="000000"/>
                <w:sz w:val="28"/>
                <w:szCs w:val="28"/>
              </w:rPr>
            </w:pPr>
            <w:r>
              <w:rPr>
                <w:rFonts w:hint="eastAsia" w:ascii="宋体" w:hAnsi="宋体"/>
                <w:color w:val="000000"/>
                <w:sz w:val="28"/>
                <w:szCs w:val="28"/>
              </w:rPr>
              <w:t>（大写）</w:t>
            </w:r>
          </w:p>
        </w:tc>
        <w:tc>
          <w:tcPr>
            <w:tcW w:w="7380" w:type="dxa"/>
            <w:gridSpan w:val="7"/>
            <w:vAlign w:val="center"/>
          </w:tcPr>
          <w:p>
            <w:pPr>
              <w:pStyle w:val="5"/>
              <w:spacing w:line="400" w:lineRule="exact"/>
              <w:ind w:firstLine="280" w:firstLineChars="100"/>
              <w:rPr>
                <w:rFonts w:ascii="宋体" w:hAnsi="宋体"/>
                <w:color w:val="000000"/>
                <w:sz w:val="28"/>
                <w:szCs w:val="28"/>
              </w:rPr>
            </w:pPr>
          </w:p>
        </w:tc>
      </w:tr>
    </w:tbl>
    <w:p>
      <w:pPr>
        <w:spacing w:line="480" w:lineRule="exact"/>
        <w:ind w:left="480"/>
        <w:rPr>
          <w:rFonts w:ascii="宋体" w:hAnsi="宋体"/>
          <w:bCs/>
          <w:color w:val="000000"/>
        </w:rPr>
      </w:pPr>
    </w:p>
    <w:p>
      <w:pPr>
        <w:spacing w:line="480" w:lineRule="exact"/>
        <w:rPr>
          <w:rFonts w:ascii="宋体" w:hAnsi="宋体"/>
          <w:bCs/>
          <w:color w:val="000000"/>
        </w:rPr>
      </w:pPr>
    </w:p>
    <w:p>
      <w:pPr>
        <w:spacing w:line="480" w:lineRule="exact"/>
        <w:rPr>
          <w:rFonts w:ascii="宋体" w:hAnsi="宋体"/>
          <w:bCs/>
          <w:color w:val="000000"/>
        </w:rPr>
      </w:pP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w:t>
      </w: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投标人（公章）：</w:t>
      </w:r>
    </w:p>
    <w:p>
      <w:pPr>
        <w:spacing w:line="480" w:lineRule="exact"/>
        <w:ind w:right="560"/>
        <w:rPr>
          <w:rFonts w:ascii="宋体" w:hAnsi="宋体"/>
          <w:bCs/>
          <w:color w:val="000000"/>
          <w:sz w:val="28"/>
          <w:szCs w:val="28"/>
        </w:rPr>
      </w:pPr>
      <w:r>
        <w:rPr>
          <w:rFonts w:hint="eastAsia" w:ascii="宋体" w:hAnsi="宋体" w:cs="仿宋_GB2312"/>
          <w:color w:val="000000"/>
          <w:sz w:val="28"/>
          <w:szCs w:val="28"/>
        </w:rPr>
        <w:t xml:space="preserve">                               投标人全权代表签字：</w:t>
      </w:r>
    </w:p>
    <w:p>
      <w:pPr>
        <w:spacing w:line="480" w:lineRule="exact"/>
        <w:ind w:left="6221" w:leftChars="229" w:hanging="5740" w:hangingChars="2050"/>
        <w:rPr>
          <w:rFonts w:ascii="宋体" w:hAnsi="宋体"/>
          <w:bCs/>
          <w:color w:val="000000"/>
          <w:sz w:val="28"/>
          <w:szCs w:val="28"/>
        </w:rPr>
      </w:pPr>
      <w:r>
        <w:rPr>
          <w:rFonts w:hint="eastAsia" w:ascii="宋体" w:hAnsi="宋体"/>
          <w:bCs/>
          <w:color w:val="000000"/>
          <w:sz w:val="28"/>
          <w:szCs w:val="28"/>
        </w:rPr>
        <w:t xml:space="preserve">                                        年    月    日</w:t>
      </w: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jc w:val="left"/>
        <w:rPr>
          <w:rFonts w:ascii="宋体" w:hAnsi="宋体"/>
          <w:b/>
          <w:color w:val="000000"/>
          <w:sz w:val="28"/>
          <w:szCs w:val="28"/>
          <w:lang w:val="zh-CN"/>
        </w:rPr>
      </w:pPr>
    </w:p>
    <w:p>
      <w:pPr>
        <w:spacing w:line="480" w:lineRule="exact"/>
        <w:jc w:val="left"/>
        <w:rPr>
          <w:rFonts w:ascii="宋体" w:hAnsi="宋体"/>
          <w:b/>
          <w:color w:val="000000"/>
          <w:sz w:val="28"/>
          <w:szCs w:val="28"/>
          <w:lang w:val="zh-CN"/>
        </w:rPr>
      </w:pPr>
    </w:p>
    <w:p>
      <w:pPr>
        <w:spacing w:line="480" w:lineRule="exact"/>
        <w:jc w:val="left"/>
        <w:rPr>
          <w:rFonts w:ascii="宋体" w:hAnsi="宋体"/>
          <w:b/>
          <w:bCs/>
          <w:color w:val="000000"/>
          <w:sz w:val="28"/>
          <w:szCs w:val="28"/>
        </w:rPr>
      </w:pPr>
      <w:r>
        <w:rPr>
          <w:rFonts w:hint="eastAsia" w:ascii="宋体" w:hAnsi="宋体"/>
          <w:b/>
          <w:color w:val="000000"/>
          <w:sz w:val="28"/>
          <w:szCs w:val="28"/>
          <w:lang w:val="zh-CN"/>
        </w:rPr>
        <w:t>格式六：</w:t>
      </w:r>
    </w:p>
    <w:p>
      <w:pPr>
        <w:spacing w:line="480" w:lineRule="exact"/>
        <w:jc w:val="center"/>
        <w:rPr>
          <w:rFonts w:ascii="宋体" w:hAnsi="宋体"/>
          <w:b/>
          <w:bCs/>
          <w:color w:val="000000"/>
          <w:sz w:val="36"/>
          <w:szCs w:val="36"/>
        </w:rPr>
      </w:pPr>
      <w:r>
        <w:rPr>
          <w:rFonts w:hint="eastAsia" w:ascii="宋体" w:hAnsi="宋体"/>
          <w:b/>
          <w:bCs/>
          <w:color w:val="000000"/>
          <w:sz w:val="36"/>
          <w:szCs w:val="36"/>
        </w:rPr>
        <w:t>规格、技术参数偏离表</w:t>
      </w:r>
    </w:p>
    <w:p>
      <w:pPr>
        <w:snapToGrid w:val="0"/>
        <w:spacing w:line="360" w:lineRule="auto"/>
        <w:rPr>
          <w:rFonts w:ascii="宋体" w:hAnsi="宋体"/>
          <w:color w:val="000000"/>
          <w:spacing w:val="20"/>
          <w:sz w:val="32"/>
          <w:szCs w:val="32"/>
        </w:rPr>
      </w:pP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衢院招2021-17</w:t>
      </w:r>
    </w:p>
    <w:p>
      <w:pPr>
        <w:snapToGrid w:val="0"/>
        <w:spacing w:line="360" w:lineRule="auto"/>
        <w:rPr>
          <w:rFonts w:ascii="宋体" w:hAnsi="宋体"/>
          <w:b/>
          <w:color w:val="000000"/>
          <w:spacing w:val="20"/>
          <w:sz w:val="32"/>
          <w:szCs w:val="32"/>
        </w:rPr>
      </w:pPr>
      <w:r>
        <w:rPr>
          <w:rFonts w:hint="eastAsia" w:ascii="宋体" w:hAnsi="宋体"/>
          <w:color w:val="000000"/>
          <w:spacing w:val="20"/>
          <w:sz w:val="32"/>
          <w:szCs w:val="32"/>
        </w:rPr>
        <w:t>项目名称：</w:t>
      </w:r>
      <w:r>
        <w:rPr>
          <w:rFonts w:hint="eastAsia" w:ascii="宋体" w:hAnsi="宋体"/>
          <w:b/>
          <w:color w:val="000000"/>
          <w:spacing w:val="20"/>
          <w:sz w:val="32"/>
          <w:szCs w:val="32"/>
        </w:rPr>
        <w:t>机器人基础训练实验设备</w:t>
      </w:r>
    </w:p>
    <w:p>
      <w:pPr>
        <w:spacing w:line="480" w:lineRule="exact"/>
        <w:rPr>
          <w:rFonts w:ascii="宋体" w:hAnsi="宋体"/>
          <w:bCs/>
          <w:color w:val="000000"/>
          <w:sz w:val="28"/>
          <w:szCs w:val="28"/>
        </w:rPr>
      </w:pPr>
    </w:p>
    <w:tbl>
      <w:tblPr>
        <w:tblStyle w:val="16"/>
        <w:tblpPr w:leftFromText="180" w:rightFromText="180" w:vertAnchor="text" w:horzAnchor="margin" w:tblpXSpec="center" w:tblpY="-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序号</w:t>
            </w:r>
          </w:p>
        </w:tc>
        <w:tc>
          <w:tcPr>
            <w:tcW w:w="146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货物名称</w:t>
            </w:r>
          </w:p>
        </w:tc>
        <w:tc>
          <w:tcPr>
            <w:tcW w:w="207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招标技术参数</w:t>
            </w:r>
          </w:p>
        </w:tc>
        <w:tc>
          <w:tcPr>
            <w:tcW w:w="151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投标品牌</w:t>
            </w:r>
          </w:p>
          <w:p>
            <w:pPr>
              <w:spacing w:line="480" w:lineRule="exact"/>
              <w:rPr>
                <w:rFonts w:ascii="宋体" w:hAnsi="宋体"/>
                <w:b/>
                <w:bCs/>
                <w:color w:val="000000"/>
                <w:sz w:val="28"/>
                <w:szCs w:val="28"/>
              </w:rPr>
            </w:pPr>
            <w:r>
              <w:rPr>
                <w:rFonts w:hint="eastAsia" w:ascii="宋体" w:hAnsi="宋体"/>
                <w:b/>
                <w:bCs/>
                <w:color w:val="000000"/>
                <w:sz w:val="28"/>
                <w:szCs w:val="28"/>
              </w:rPr>
              <w:t>和型号</w:t>
            </w:r>
          </w:p>
        </w:tc>
        <w:tc>
          <w:tcPr>
            <w:tcW w:w="1923"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投标技术参数</w:t>
            </w:r>
          </w:p>
        </w:tc>
        <w:tc>
          <w:tcPr>
            <w:tcW w:w="1421"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bl>
    <w:p>
      <w:pPr>
        <w:spacing w:line="480" w:lineRule="exact"/>
        <w:rPr>
          <w:rFonts w:ascii="宋体" w:hAnsi="宋体"/>
          <w:bCs/>
          <w:color w:val="000000"/>
          <w:sz w:val="28"/>
          <w:szCs w:val="28"/>
        </w:rPr>
      </w:pPr>
      <w:r>
        <w:rPr>
          <w:rFonts w:hint="eastAsia" w:ascii="宋体" w:hAnsi="宋体"/>
          <w:b/>
          <w:bCs/>
          <w:color w:val="000000"/>
          <w:sz w:val="28"/>
          <w:szCs w:val="28"/>
        </w:rPr>
        <w:t>（注：只须对比偏离情况，</w:t>
      </w:r>
      <w:r>
        <w:rPr>
          <w:rFonts w:hint="eastAsia" w:ascii="宋体" w:hAnsi="宋体"/>
          <w:b/>
          <w:bCs/>
          <w:color w:val="FF0000"/>
          <w:sz w:val="28"/>
          <w:szCs w:val="28"/>
        </w:rPr>
        <w:t>未对比的认为响应招标文件要求</w:t>
      </w:r>
      <w:r>
        <w:rPr>
          <w:rFonts w:hint="eastAsia" w:ascii="宋体" w:hAnsi="宋体"/>
          <w:b/>
          <w:bCs/>
          <w:color w:val="000000"/>
          <w:sz w:val="28"/>
          <w:szCs w:val="28"/>
        </w:rPr>
        <w:t>）</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投标人（加盖公章）：</w:t>
      </w:r>
    </w:p>
    <w:p>
      <w:pPr>
        <w:spacing w:line="480" w:lineRule="exact"/>
        <w:rPr>
          <w:rFonts w:ascii="宋体" w:hAnsi="宋体"/>
          <w:bCs/>
          <w:color w:val="000000"/>
          <w:sz w:val="28"/>
          <w:szCs w:val="28"/>
        </w:rPr>
      </w:pPr>
      <w:r>
        <w:rPr>
          <w:rFonts w:hint="eastAsia" w:ascii="宋体" w:hAnsi="宋体" w:cs="仿宋_GB2312"/>
          <w:color w:val="000000"/>
          <w:sz w:val="28"/>
          <w:szCs w:val="28"/>
        </w:rPr>
        <w:t>投标人全权代表签字：</w:t>
      </w:r>
    </w:p>
    <w:p>
      <w:pPr>
        <w:spacing w:line="480" w:lineRule="exact"/>
        <w:rPr>
          <w:rFonts w:ascii="宋体" w:hAnsi="宋体"/>
          <w:bCs/>
          <w:color w:val="000000"/>
          <w:sz w:val="28"/>
          <w:szCs w:val="28"/>
        </w:rPr>
      </w:pPr>
      <w:r>
        <w:rPr>
          <w:rFonts w:hint="eastAsia" w:ascii="宋体" w:hAnsi="宋体"/>
          <w:bCs/>
          <w:color w:val="000000"/>
          <w:sz w:val="28"/>
          <w:szCs w:val="28"/>
        </w:rPr>
        <w:t>日期：          年    月    日</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注：此表格若不够用，可根据实际自行扩展表格。</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
          <w:bCs/>
          <w:color w:val="000000"/>
          <w:sz w:val="28"/>
          <w:szCs w:val="28"/>
        </w:rPr>
      </w:pPr>
      <w:r>
        <w:rPr>
          <w:rFonts w:hint="eastAsia" w:ascii="宋体" w:hAnsi="宋体"/>
          <w:b/>
          <w:color w:val="000000"/>
          <w:sz w:val="28"/>
          <w:szCs w:val="28"/>
          <w:lang w:val="zh-CN"/>
        </w:rPr>
        <w:t>格式七：</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技术支持和售后服务承诺书</w:t>
      </w:r>
    </w:p>
    <w:p>
      <w:pPr>
        <w:autoSpaceDE w:val="0"/>
        <w:autoSpaceDN w:val="0"/>
        <w:adjustRightInd w:val="0"/>
        <w:jc w:val="center"/>
        <w:rPr>
          <w:rFonts w:ascii="宋体" w:hAnsi="宋体"/>
          <w:color w:val="000000"/>
          <w:kern w:val="0"/>
          <w:sz w:val="24"/>
        </w:rPr>
      </w:pPr>
    </w:p>
    <w:p>
      <w:pPr>
        <w:snapToGrid w:val="0"/>
        <w:spacing w:line="360" w:lineRule="auto"/>
        <w:rPr>
          <w:rFonts w:ascii="宋体" w:hAnsi="宋体"/>
          <w:b/>
          <w:color w:val="000000"/>
          <w:spacing w:val="20"/>
          <w:sz w:val="32"/>
          <w:szCs w:val="32"/>
        </w:rPr>
      </w:pPr>
      <w:r>
        <w:rPr>
          <w:rFonts w:hint="eastAsia" w:ascii="宋体" w:hAnsi="宋体"/>
          <w:b/>
          <w:color w:val="000000"/>
          <w:spacing w:val="20"/>
          <w:sz w:val="32"/>
          <w:szCs w:val="32"/>
        </w:rPr>
        <w:t>项目编号：衢院招2021-17</w:t>
      </w:r>
    </w:p>
    <w:p>
      <w:pPr>
        <w:snapToGrid w:val="0"/>
        <w:spacing w:line="360" w:lineRule="auto"/>
        <w:rPr>
          <w:rFonts w:ascii="宋体" w:hAnsi="宋体"/>
          <w:b/>
          <w:color w:val="000000"/>
          <w:sz w:val="32"/>
          <w:szCs w:val="32"/>
        </w:rPr>
      </w:pPr>
      <w:r>
        <w:rPr>
          <w:rFonts w:hint="eastAsia" w:ascii="宋体" w:hAnsi="宋体"/>
          <w:b/>
          <w:color w:val="000000"/>
          <w:spacing w:val="20"/>
          <w:sz w:val="32"/>
          <w:szCs w:val="32"/>
        </w:rPr>
        <w:t>项目名称：机器人基础训练实验设备</w:t>
      </w:r>
    </w:p>
    <w:tbl>
      <w:tblPr>
        <w:tblStyle w:val="16"/>
        <w:tblW w:w="0" w:type="auto"/>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有关技术人员现场免费</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8</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质保期满后的保修服务费用</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9</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宋体"/>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bl>
    <w:p>
      <w:pPr>
        <w:snapToGrid w:val="0"/>
        <w:rPr>
          <w:rFonts w:ascii="宋体" w:hAnsi="宋体"/>
          <w:b/>
          <w:color w:val="000000"/>
          <w:spacing w:val="20"/>
          <w:sz w:val="32"/>
          <w:szCs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outlineLvl w:val="2"/>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ascii="宋体" w:hAnsi="宋体"/>
          <w:color w:val="000000"/>
          <w:sz w:val="28"/>
          <w:szCs w:val="28"/>
          <w:u w:val="single"/>
        </w:rPr>
        <w:t xml:space="preserve">      </w:t>
      </w:r>
      <w:r>
        <w:rPr>
          <w:rFonts w:ascii="宋体" w:hAnsi="宋体"/>
          <w:color w:val="000000"/>
          <w:sz w:val="28"/>
          <w:szCs w:val="28"/>
          <w:lang w:val="zh-CN"/>
        </w:rPr>
        <w:t>年</w:t>
      </w:r>
      <w:r>
        <w:rPr>
          <w:rFonts w:ascii="宋体" w:hAnsi="宋体"/>
          <w:color w:val="000000"/>
          <w:sz w:val="28"/>
          <w:szCs w:val="28"/>
          <w:u w:val="single"/>
        </w:rPr>
        <w:t xml:space="preserve">      </w:t>
      </w:r>
      <w:r>
        <w:rPr>
          <w:rFonts w:ascii="宋体" w:hAnsi="宋体"/>
          <w:color w:val="000000"/>
          <w:sz w:val="28"/>
          <w:szCs w:val="28"/>
          <w:lang w:val="zh-CN"/>
        </w:rPr>
        <w:t>月</w:t>
      </w:r>
      <w:r>
        <w:rPr>
          <w:rFonts w:ascii="宋体" w:hAnsi="宋体"/>
          <w:color w:val="000000"/>
          <w:sz w:val="28"/>
          <w:szCs w:val="28"/>
          <w:u w:val="single"/>
        </w:rPr>
        <w:t xml:space="preserve">      </w:t>
      </w:r>
      <w:r>
        <w:rPr>
          <w:rFonts w:ascii="宋体" w:hAnsi="宋体"/>
          <w:color w:val="000000"/>
          <w:sz w:val="28"/>
          <w:szCs w:val="28"/>
          <w:lang w:val="zh-CN"/>
        </w:rPr>
        <w:t>日</w:t>
      </w:r>
      <w:r>
        <w:rPr>
          <w:rFonts w:hint="eastAsia" w:ascii="宋体" w:hAnsi="宋体"/>
          <w:b/>
          <w:color w:val="000000"/>
          <w:sz w:val="28"/>
          <w:szCs w:val="28"/>
        </w:rPr>
        <w:br w:type="page"/>
      </w:r>
      <w:r>
        <w:rPr>
          <w:rFonts w:hint="eastAsia" w:ascii="宋体" w:hAnsi="宋体"/>
          <w:b/>
          <w:color w:val="000000"/>
          <w:sz w:val="28"/>
          <w:szCs w:val="28"/>
        </w:rPr>
        <w:t xml:space="preserve"> 格式八：</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同类项目实施情况一览表</w:t>
      </w:r>
    </w:p>
    <w:p>
      <w:pPr>
        <w:snapToGrid w:val="0"/>
        <w:spacing w:line="360" w:lineRule="auto"/>
        <w:ind w:firstLine="125" w:firstLineChars="50"/>
        <w:rPr>
          <w:rFonts w:ascii="宋体" w:hAnsi="宋体"/>
          <w:color w:val="000000"/>
          <w:spacing w:val="20"/>
          <w:szCs w:val="21"/>
        </w:rPr>
      </w:pPr>
    </w:p>
    <w:p>
      <w:pPr>
        <w:snapToGrid w:val="0"/>
        <w:spacing w:line="360" w:lineRule="auto"/>
        <w:ind w:firstLine="181" w:firstLineChars="50"/>
        <w:rPr>
          <w:rFonts w:ascii="宋体" w:hAnsi="宋体"/>
          <w:b/>
          <w:color w:val="000000"/>
          <w:spacing w:val="20"/>
          <w:sz w:val="32"/>
          <w:szCs w:val="32"/>
        </w:rPr>
      </w:pPr>
      <w:r>
        <w:rPr>
          <w:rFonts w:hint="eastAsia" w:ascii="宋体" w:hAnsi="宋体"/>
          <w:b/>
          <w:color w:val="000000"/>
          <w:spacing w:val="20"/>
          <w:sz w:val="32"/>
          <w:szCs w:val="32"/>
        </w:rPr>
        <w:t>项目编号：衢院招2021-17</w:t>
      </w:r>
    </w:p>
    <w:p>
      <w:pPr>
        <w:snapToGrid w:val="0"/>
        <w:spacing w:line="360" w:lineRule="auto"/>
        <w:ind w:firstLine="181" w:firstLineChars="50"/>
        <w:rPr>
          <w:rFonts w:ascii="宋体" w:hAnsi="宋体"/>
          <w:b/>
          <w:color w:val="000000"/>
          <w:sz w:val="32"/>
          <w:szCs w:val="32"/>
        </w:rPr>
      </w:pPr>
      <w:r>
        <w:rPr>
          <w:rFonts w:hint="eastAsia" w:ascii="宋体" w:hAnsi="宋体"/>
          <w:b/>
          <w:color w:val="000000"/>
          <w:spacing w:val="20"/>
          <w:sz w:val="32"/>
          <w:szCs w:val="32"/>
        </w:rPr>
        <w:t>项目名称：</w:t>
      </w:r>
      <w:r>
        <w:rPr>
          <w:rFonts w:hint="eastAsia" w:ascii="宋体" w:hAnsi="宋体"/>
          <w:b/>
          <w:bCs/>
          <w:color w:val="000000"/>
          <w:spacing w:val="20"/>
          <w:sz w:val="32"/>
          <w:szCs w:val="32"/>
        </w:rPr>
        <w:t>机器人基础训练实验设备</w:t>
      </w:r>
    </w:p>
    <w:tbl>
      <w:tblPr>
        <w:tblStyle w:val="16"/>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b/>
                <w:bCs/>
                <w:color w:val="000000"/>
                <w:sz w:val="24"/>
              </w:rPr>
            </w:pPr>
            <w:r>
              <w:rPr>
                <w:rFonts w:hint="eastAsia" w:ascii="宋体" w:hAnsi="宋体"/>
                <w:b/>
                <w:bCs/>
                <w:color w:val="000000"/>
                <w:sz w:val="24"/>
              </w:rPr>
              <w:t>采购单位名称</w:t>
            </w:r>
          </w:p>
        </w:tc>
        <w:tc>
          <w:tcPr>
            <w:tcW w:w="2008" w:type="dxa"/>
            <w:vAlign w:val="center"/>
          </w:tcPr>
          <w:p>
            <w:pPr>
              <w:jc w:val="center"/>
              <w:rPr>
                <w:rFonts w:ascii="宋体" w:hAnsi="宋体"/>
                <w:b/>
                <w:bCs/>
                <w:color w:val="000000"/>
                <w:sz w:val="24"/>
              </w:rPr>
            </w:pPr>
            <w:r>
              <w:rPr>
                <w:rFonts w:hint="eastAsia" w:ascii="宋体" w:hAnsi="宋体"/>
                <w:b/>
                <w:bCs/>
                <w:color w:val="000000"/>
                <w:sz w:val="24"/>
              </w:rPr>
              <w:t>项目名称</w:t>
            </w:r>
          </w:p>
        </w:tc>
        <w:tc>
          <w:tcPr>
            <w:tcW w:w="1312" w:type="dxa"/>
            <w:vAlign w:val="center"/>
          </w:tcPr>
          <w:p>
            <w:pPr>
              <w:jc w:val="center"/>
              <w:rPr>
                <w:rFonts w:ascii="宋体" w:hAnsi="宋体"/>
                <w:b/>
                <w:bCs/>
                <w:color w:val="000000"/>
                <w:sz w:val="24"/>
              </w:rPr>
            </w:pPr>
            <w:r>
              <w:rPr>
                <w:rFonts w:hint="eastAsia" w:ascii="宋体" w:hAnsi="宋体"/>
                <w:b/>
                <w:bCs/>
                <w:color w:val="000000"/>
                <w:sz w:val="24"/>
              </w:rPr>
              <w:t>采购数量</w:t>
            </w:r>
          </w:p>
        </w:tc>
        <w:tc>
          <w:tcPr>
            <w:tcW w:w="1346" w:type="dxa"/>
            <w:vAlign w:val="center"/>
          </w:tcPr>
          <w:p>
            <w:pPr>
              <w:jc w:val="center"/>
              <w:rPr>
                <w:rFonts w:ascii="宋体" w:hAnsi="宋体"/>
                <w:b/>
                <w:bCs/>
                <w:color w:val="000000"/>
                <w:sz w:val="24"/>
              </w:rPr>
            </w:pPr>
            <w:r>
              <w:rPr>
                <w:rFonts w:hint="eastAsia" w:ascii="宋体" w:hAnsi="宋体"/>
                <w:b/>
                <w:bCs/>
                <w:color w:val="000000"/>
                <w:sz w:val="24"/>
              </w:rPr>
              <w:t>合同金额（万元）</w:t>
            </w:r>
          </w:p>
        </w:tc>
        <w:tc>
          <w:tcPr>
            <w:tcW w:w="2048" w:type="dxa"/>
            <w:vAlign w:val="center"/>
          </w:tcPr>
          <w:p>
            <w:pPr>
              <w:jc w:val="center"/>
              <w:rPr>
                <w:rFonts w:ascii="宋体" w:hAnsi="宋体"/>
                <w:b/>
                <w:bCs/>
                <w:color w:val="000000"/>
                <w:sz w:val="24"/>
              </w:rPr>
            </w:pPr>
            <w:r>
              <w:rPr>
                <w:rFonts w:hint="eastAsia" w:ascii="宋体" w:hAnsi="宋体"/>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bl>
    <w:p>
      <w:pPr>
        <w:autoSpaceDE w:val="0"/>
        <w:autoSpaceDN w:val="0"/>
        <w:adjustRightInd w:val="0"/>
        <w:spacing w:line="360" w:lineRule="auto"/>
        <w:jc w:val="center"/>
        <w:rPr>
          <w:rFonts w:ascii="宋体" w:hAnsi="宋体"/>
          <w:b/>
          <w:bCs/>
          <w:color w:val="000000"/>
          <w:kern w:val="0"/>
          <w:sz w:val="32"/>
          <w:szCs w:val="32"/>
          <w:lang w:val="zh-CN"/>
        </w:rPr>
      </w:pPr>
    </w:p>
    <w:p>
      <w:pPr>
        <w:spacing w:line="360" w:lineRule="auto"/>
        <w:rPr>
          <w:rFonts w:ascii="宋体" w:hAnsi="宋体"/>
          <w:bCs/>
          <w:color w:val="000000"/>
          <w:sz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ascii="宋体" w:hAnsi="宋体"/>
          <w:color w:val="000000"/>
          <w:sz w:val="28"/>
          <w:szCs w:val="28"/>
          <w:u w:val="single"/>
        </w:rPr>
        <w:t xml:space="preserve">      </w:t>
      </w:r>
      <w:r>
        <w:rPr>
          <w:rFonts w:ascii="宋体" w:hAnsi="宋体"/>
          <w:color w:val="000000"/>
          <w:sz w:val="28"/>
          <w:szCs w:val="28"/>
          <w:lang w:val="zh-CN"/>
        </w:rPr>
        <w:t>年</w:t>
      </w:r>
      <w:r>
        <w:rPr>
          <w:rFonts w:ascii="宋体" w:hAnsi="宋体"/>
          <w:color w:val="000000"/>
          <w:sz w:val="28"/>
          <w:szCs w:val="28"/>
          <w:u w:val="single"/>
        </w:rPr>
        <w:t xml:space="preserve">      </w:t>
      </w:r>
      <w:r>
        <w:rPr>
          <w:rFonts w:ascii="宋体" w:hAnsi="宋体"/>
          <w:color w:val="000000"/>
          <w:sz w:val="28"/>
          <w:szCs w:val="28"/>
          <w:lang w:val="zh-CN"/>
        </w:rPr>
        <w:t>月</w:t>
      </w:r>
      <w:r>
        <w:rPr>
          <w:rFonts w:ascii="宋体" w:hAnsi="宋体"/>
          <w:color w:val="000000"/>
          <w:sz w:val="28"/>
          <w:szCs w:val="28"/>
          <w:u w:val="single"/>
        </w:rPr>
        <w:t xml:space="preserve">      </w:t>
      </w:r>
      <w:r>
        <w:rPr>
          <w:rFonts w:ascii="宋体" w:hAnsi="宋体"/>
          <w:color w:val="000000"/>
          <w:sz w:val="28"/>
          <w:szCs w:val="28"/>
          <w:lang w:val="zh-CN"/>
        </w:rPr>
        <w:t>日</w:t>
      </w: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80" w:lineRule="auto"/>
        <w:outlineLvl w:val="1"/>
        <w:rPr>
          <w:rFonts w:ascii="宋体" w:hAnsi="宋体"/>
          <w:b/>
          <w:sz w:val="24"/>
        </w:rPr>
      </w:pPr>
      <w:r>
        <w:rPr>
          <w:rFonts w:hint="eastAsia" w:ascii="宋体" w:hAnsi="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widowControl/>
        <w:overflowPunct w:val="0"/>
        <w:autoSpaceDE w:val="0"/>
        <w:autoSpaceDN w:val="0"/>
        <w:adjustRightInd w:val="0"/>
        <w:spacing w:line="500" w:lineRule="exact"/>
        <w:rPr>
          <w:rFonts w:ascii="宋体" w:hAnsi="宋体" w:cs="宋体"/>
          <w:kern w:val="0"/>
          <w:sz w:val="28"/>
          <w:szCs w:val="28"/>
        </w:rPr>
      </w:pPr>
      <w:r>
        <w:rPr>
          <w:rFonts w:hint="eastAsia" w:ascii="宋体" w:hAnsi="宋体" w:cs="宋体"/>
          <w:spacing w:val="6"/>
          <w:kern w:val="0"/>
          <w:sz w:val="28"/>
          <w:szCs w:val="28"/>
        </w:rPr>
        <w:t xml:space="preserve">              </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注：1.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3.投标人提供的货物既有中小企业制造货物，也有大型企业制造货物的，不享受本办法规定的中小企业扶持政策。</w:t>
      </w:r>
    </w:p>
    <w:p>
      <w:pPr>
        <w:spacing w:line="588" w:lineRule="exact"/>
        <w:jc w:val="left"/>
        <w:rPr>
          <w:rFonts w:ascii="宋体" w:hAnsi="宋体"/>
          <w:b/>
          <w:sz w:val="28"/>
          <w:szCs w:val="28"/>
          <w:lang w:val="en-GB"/>
        </w:rPr>
      </w:pPr>
      <w:r>
        <w:rPr>
          <w:rFonts w:hint="eastAsia" w:ascii="宋体" w:hAnsi="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20"/>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rPr>
          <w:rFonts w:ascii="宋体" w:hAnsi="宋体"/>
          <w:b/>
          <w:sz w:val="28"/>
          <w:szCs w:val="28"/>
          <w:lang w:val="en-GB"/>
        </w:rPr>
      </w:pPr>
    </w:p>
    <w:p>
      <w:pPr>
        <w:snapToGrid w:val="0"/>
        <w:spacing w:line="540" w:lineRule="exact"/>
        <w:rPr>
          <w:rFonts w:ascii="宋体" w:hAnsi="宋体"/>
          <w:b/>
          <w:sz w:val="28"/>
          <w:szCs w:val="28"/>
          <w:lang w:val="en-GB"/>
        </w:rPr>
      </w:pPr>
    </w:p>
    <w:p>
      <w:pPr>
        <w:snapToGrid w:val="0"/>
        <w:spacing w:line="540" w:lineRule="exact"/>
        <w:rPr>
          <w:rFonts w:ascii="宋体" w:hAnsi="宋体"/>
          <w:b/>
          <w:sz w:val="28"/>
          <w:szCs w:val="28"/>
          <w:lang w:val="en-GB"/>
        </w:rPr>
      </w:pPr>
    </w:p>
    <w:p>
      <w:pPr>
        <w:snapToGrid w:val="0"/>
        <w:spacing w:line="540" w:lineRule="exact"/>
        <w:rPr>
          <w:rFonts w:ascii="宋体" w:hAnsi="宋体"/>
          <w:b/>
          <w:spacing w:val="6"/>
          <w:sz w:val="32"/>
          <w:szCs w:val="32"/>
        </w:rPr>
      </w:pPr>
      <w:r>
        <w:rPr>
          <w:rFonts w:hint="eastAsia" w:ascii="宋体" w:hAnsi="宋体"/>
          <w:b/>
          <w:sz w:val="28"/>
          <w:szCs w:val="28"/>
          <w:lang w:val="en-GB"/>
        </w:rPr>
        <w:t>格式十一：</w:t>
      </w:r>
    </w:p>
    <w:p>
      <w:pPr>
        <w:spacing w:line="588" w:lineRule="exact"/>
        <w:jc w:val="center"/>
        <w:rPr>
          <w:rFonts w:ascii="宋体" w:hAnsi="宋体"/>
          <w:b/>
          <w:spacing w:val="6"/>
          <w:sz w:val="32"/>
          <w:szCs w:val="32"/>
        </w:rPr>
      </w:pPr>
      <w:r>
        <w:rPr>
          <w:rFonts w:hint="eastAsia" w:ascii="宋体" w:hAnsi="宋体"/>
          <w:b/>
          <w:spacing w:val="6"/>
          <w:sz w:val="32"/>
          <w:szCs w:val="32"/>
        </w:rPr>
        <w:t>残疾人福利性单位声明函</w:t>
      </w:r>
    </w:p>
    <w:p>
      <w:pPr>
        <w:spacing w:line="588" w:lineRule="exact"/>
        <w:rPr>
          <w:rFonts w:ascii="宋体" w:hAnsi="宋体"/>
          <w:b/>
          <w:spacing w:val="6"/>
          <w:sz w:val="30"/>
          <w:szCs w:val="30"/>
        </w:rPr>
      </w:pPr>
    </w:p>
    <w:p>
      <w:pPr>
        <w:snapToGrid w:val="0"/>
        <w:spacing w:line="360" w:lineRule="auto"/>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pPr>
        <w:snapToGrid w:val="0"/>
        <w:spacing w:line="360" w:lineRule="auto"/>
        <w:ind w:firstLine="560" w:firstLineChars="200"/>
        <w:rPr>
          <w:rFonts w:ascii="宋体" w:hAnsi="宋体"/>
          <w:sz w:val="28"/>
          <w:szCs w:val="28"/>
        </w:rPr>
      </w:pPr>
    </w:p>
    <w:p>
      <w:pPr>
        <w:spacing w:line="588" w:lineRule="exact"/>
        <w:ind w:firstLine="624" w:firstLineChars="200"/>
        <w:rPr>
          <w:rFonts w:ascii="宋体" w:hAnsi="宋体"/>
          <w:spacing w:val="6"/>
          <w:sz w:val="30"/>
          <w:szCs w:val="30"/>
        </w:rPr>
      </w:pPr>
    </w:p>
    <w:p>
      <w:pPr>
        <w:snapToGrid w:val="0"/>
        <w:spacing w:line="360" w:lineRule="auto"/>
        <w:ind w:firstLine="624" w:firstLineChars="200"/>
        <w:jc w:val="right"/>
        <w:rPr>
          <w:rFonts w:ascii="宋体" w:hAnsi="宋体"/>
          <w:sz w:val="28"/>
          <w:szCs w:val="28"/>
        </w:rPr>
      </w:pPr>
      <w:r>
        <w:rPr>
          <w:rFonts w:hint="eastAsia" w:ascii="宋体" w:hAnsi="宋体"/>
          <w:spacing w:val="6"/>
          <w:sz w:val="30"/>
          <w:szCs w:val="30"/>
        </w:rPr>
        <w:t xml:space="preserve">         </w:t>
      </w:r>
      <w:r>
        <w:rPr>
          <w:rFonts w:hint="eastAsia" w:ascii="宋体" w:hAnsi="宋体"/>
          <w:sz w:val="28"/>
          <w:szCs w:val="28"/>
        </w:rPr>
        <w:t xml:space="preserve">      单位名称（盖章）：</w:t>
      </w:r>
    </w:p>
    <w:p>
      <w:pPr>
        <w:pStyle w:val="25"/>
        <w:spacing w:line="540" w:lineRule="exact"/>
        <w:ind w:firstLine="0" w:firstLineChars="0"/>
        <w:jc w:val="center"/>
        <w:rPr>
          <w:rFonts w:ascii="宋体" w:cs="仿宋_GB2312"/>
          <w:color w:val="000000"/>
          <w:sz w:val="28"/>
        </w:rPr>
      </w:pPr>
      <w:r>
        <w:rPr>
          <w:rFonts w:hint="eastAsia" w:ascii="宋体" w:eastAsia="宋体"/>
          <w:sz w:val="28"/>
        </w:rPr>
        <w:t xml:space="preserve">                                       日  期：</w:t>
      </w:r>
    </w:p>
    <w:p/>
    <w:p>
      <w:pPr>
        <w:autoSpaceDE w:val="0"/>
        <w:autoSpaceDN w:val="0"/>
        <w:adjustRightInd w:val="0"/>
        <w:spacing w:line="480" w:lineRule="auto"/>
        <w:ind w:firstLine="278"/>
        <w:outlineLvl w:val="1"/>
        <w:rPr>
          <w:rFonts w:ascii="宋体" w:hAnsi="宋体"/>
          <w:b/>
          <w:sz w:val="24"/>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Dell Replica Light">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56</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ascii="宋体" w:hAnsi="宋体"/>
      </w:rPr>
    </w:pPr>
    <w:r>
      <w:rPr>
        <w:rFonts w:hint="eastAsia"/>
      </w:rPr>
      <w:t xml:space="preserve">                                     </w:t>
    </w:r>
    <w:r>
      <w:rPr>
        <w:rFonts w:hint="eastAsia" w:ascii="宋体" w:hAnsi="宋体"/>
      </w:rPr>
      <w:t>项目编号：衢院招</w:t>
    </w:r>
    <w:r>
      <w:rPr>
        <w:rFonts w:hint="eastAsia" w:ascii="宋体" w:hAnsi="宋体"/>
        <w:color w:val="000000"/>
      </w:rPr>
      <w:t>2</w:t>
    </w:r>
    <w:r>
      <w:rPr>
        <w:rFonts w:hint="eastAsia" w:ascii="宋体" w:hAnsi="宋体"/>
      </w:rPr>
      <w:t>021-17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814"/>
        </w:tabs>
        <w:ind w:left="814" w:hanging="360"/>
      </w:pPr>
      <w:rPr>
        <w:rFonts w:hint="default"/>
        <w:b w:val="0"/>
      </w:rPr>
    </w:lvl>
    <w:lvl w:ilvl="1" w:tentative="0">
      <w:start w:val="1"/>
      <w:numFmt w:val="lowerLetter"/>
      <w:lvlText w:val="%2)"/>
      <w:lvlJc w:val="left"/>
      <w:pPr>
        <w:tabs>
          <w:tab w:val="left" w:pos="1294"/>
        </w:tabs>
        <w:ind w:left="1294" w:hanging="420"/>
      </w:pPr>
    </w:lvl>
    <w:lvl w:ilvl="2" w:tentative="0">
      <w:start w:val="1"/>
      <w:numFmt w:val="lowerRoman"/>
      <w:lvlText w:val="%3."/>
      <w:lvlJc w:val="right"/>
      <w:pPr>
        <w:tabs>
          <w:tab w:val="left" w:pos="1714"/>
        </w:tabs>
        <w:ind w:left="1714" w:hanging="420"/>
      </w:pPr>
    </w:lvl>
    <w:lvl w:ilvl="3" w:tentative="0">
      <w:start w:val="1"/>
      <w:numFmt w:val="decimal"/>
      <w:lvlText w:val="%4."/>
      <w:lvlJc w:val="left"/>
      <w:pPr>
        <w:tabs>
          <w:tab w:val="left" w:pos="2134"/>
        </w:tabs>
        <w:ind w:left="2134" w:hanging="420"/>
      </w:pPr>
    </w:lvl>
    <w:lvl w:ilvl="4" w:tentative="0">
      <w:start w:val="1"/>
      <w:numFmt w:val="lowerLetter"/>
      <w:lvlText w:val="%5)"/>
      <w:lvlJc w:val="left"/>
      <w:pPr>
        <w:tabs>
          <w:tab w:val="left" w:pos="2554"/>
        </w:tabs>
        <w:ind w:left="2554" w:hanging="420"/>
      </w:pPr>
    </w:lvl>
    <w:lvl w:ilvl="5" w:tentative="0">
      <w:start w:val="1"/>
      <w:numFmt w:val="lowerRoman"/>
      <w:lvlText w:val="%6."/>
      <w:lvlJc w:val="right"/>
      <w:pPr>
        <w:tabs>
          <w:tab w:val="left" w:pos="2974"/>
        </w:tabs>
        <w:ind w:left="2974" w:hanging="420"/>
      </w:pPr>
    </w:lvl>
    <w:lvl w:ilvl="6" w:tentative="0">
      <w:start w:val="1"/>
      <w:numFmt w:val="decimal"/>
      <w:lvlText w:val="%7."/>
      <w:lvlJc w:val="left"/>
      <w:pPr>
        <w:tabs>
          <w:tab w:val="left" w:pos="3394"/>
        </w:tabs>
        <w:ind w:left="3394" w:hanging="420"/>
      </w:pPr>
    </w:lvl>
    <w:lvl w:ilvl="7" w:tentative="0">
      <w:start w:val="1"/>
      <w:numFmt w:val="lowerLetter"/>
      <w:lvlText w:val="%8)"/>
      <w:lvlJc w:val="left"/>
      <w:pPr>
        <w:tabs>
          <w:tab w:val="left" w:pos="3814"/>
        </w:tabs>
        <w:ind w:left="3814" w:hanging="420"/>
      </w:pPr>
    </w:lvl>
    <w:lvl w:ilvl="8" w:tentative="0">
      <w:start w:val="1"/>
      <w:numFmt w:val="lowerRoman"/>
      <w:lvlText w:val="%9."/>
      <w:lvlJc w:val="right"/>
      <w:pPr>
        <w:tabs>
          <w:tab w:val="left" w:pos="4234"/>
        </w:tabs>
        <w:ind w:left="4234" w:hanging="420"/>
      </w:pPr>
    </w:lvl>
  </w:abstractNum>
  <w:abstractNum w:abstractNumId="1">
    <w:nsid w:val="067736B7"/>
    <w:multiLevelType w:val="multilevel"/>
    <w:tmpl w:val="067736B7"/>
    <w:lvl w:ilvl="0" w:tentative="0">
      <w:start w:val="1"/>
      <w:numFmt w:val="decimal"/>
      <w:lvlText w:val="%1)"/>
      <w:lvlJc w:val="left"/>
      <w:pPr>
        <w:ind w:left="227" w:hanging="22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0111768"/>
    <w:multiLevelType w:val="multilevel"/>
    <w:tmpl w:val="10111768"/>
    <w:lvl w:ilvl="0" w:tentative="0">
      <w:start w:val="1"/>
      <w:numFmt w:val="decimal"/>
      <w:lvlText w:val="%1)"/>
      <w:lvlJc w:val="left"/>
      <w:pPr>
        <w:ind w:left="227" w:hanging="22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AB24D7B"/>
    <w:multiLevelType w:val="multilevel"/>
    <w:tmpl w:val="4AB24D7B"/>
    <w:lvl w:ilvl="0" w:tentative="0">
      <w:start w:val="1"/>
      <w:numFmt w:val="decimal"/>
      <w:lvlText w:val="%1)"/>
      <w:lvlJc w:val="left"/>
      <w:pPr>
        <w:ind w:left="227" w:hanging="22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9D13815"/>
    <w:multiLevelType w:val="multilevel"/>
    <w:tmpl w:val="69D13815"/>
    <w:lvl w:ilvl="0" w:tentative="0">
      <w:start w:val="1"/>
      <w:numFmt w:val="decimal"/>
      <w:lvlText w:val="%1)"/>
      <w:lvlJc w:val="left"/>
      <w:pPr>
        <w:ind w:left="227" w:hanging="22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78AE72AB"/>
    <w:multiLevelType w:val="multilevel"/>
    <w:tmpl w:val="78AE72AB"/>
    <w:lvl w:ilvl="0" w:tentative="0">
      <w:start w:val="1"/>
      <w:numFmt w:val="decimal"/>
      <w:lvlText w:val="%1)"/>
      <w:lvlJc w:val="left"/>
      <w:pPr>
        <w:ind w:left="227" w:hanging="227"/>
      </w:pPr>
      <w:rPr>
        <w:rFonts w:hint="eastAsia"/>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B537F78"/>
    <w:multiLevelType w:val="multilevel"/>
    <w:tmpl w:val="7B537F78"/>
    <w:lvl w:ilvl="0" w:tentative="0">
      <w:start w:val="1"/>
      <w:numFmt w:val="decimal"/>
      <w:lvlText w:val="%1)"/>
      <w:lvlJc w:val="left"/>
      <w:pPr>
        <w:ind w:left="227" w:hanging="22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7"/>
  </w:num>
  <w:num w:numId="4">
    <w:abstractNumId w:val="3"/>
  </w:num>
  <w:num w:numId="5">
    <w:abstractNumId w:val="6"/>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48617A"/>
    <w:rsid w:val="00004D5C"/>
    <w:rsid w:val="00026E9D"/>
    <w:rsid w:val="00053751"/>
    <w:rsid w:val="00082B58"/>
    <w:rsid w:val="000A40BF"/>
    <w:rsid w:val="000C435C"/>
    <w:rsid w:val="000C630B"/>
    <w:rsid w:val="000D2132"/>
    <w:rsid w:val="00153992"/>
    <w:rsid w:val="00155A5F"/>
    <w:rsid w:val="001723A6"/>
    <w:rsid w:val="0018424C"/>
    <w:rsid w:val="001A18A9"/>
    <w:rsid w:val="00206012"/>
    <w:rsid w:val="00231E01"/>
    <w:rsid w:val="002346AF"/>
    <w:rsid w:val="00234B44"/>
    <w:rsid w:val="002410EF"/>
    <w:rsid w:val="00290B99"/>
    <w:rsid w:val="002A1EF0"/>
    <w:rsid w:val="002B431E"/>
    <w:rsid w:val="002C1658"/>
    <w:rsid w:val="002C3D6D"/>
    <w:rsid w:val="003147D9"/>
    <w:rsid w:val="00323A01"/>
    <w:rsid w:val="003301C5"/>
    <w:rsid w:val="00364B57"/>
    <w:rsid w:val="0038594C"/>
    <w:rsid w:val="003B2F2E"/>
    <w:rsid w:val="003C1160"/>
    <w:rsid w:val="003E25E3"/>
    <w:rsid w:val="003F02E4"/>
    <w:rsid w:val="00424D5C"/>
    <w:rsid w:val="00463F31"/>
    <w:rsid w:val="00465F01"/>
    <w:rsid w:val="004744D4"/>
    <w:rsid w:val="004827FF"/>
    <w:rsid w:val="004A120C"/>
    <w:rsid w:val="004A53D8"/>
    <w:rsid w:val="00514056"/>
    <w:rsid w:val="00540529"/>
    <w:rsid w:val="00572547"/>
    <w:rsid w:val="00584BDE"/>
    <w:rsid w:val="00584F4D"/>
    <w:rsid w:val="005A26F3"/>
    <w:rsid w:val="005A34BC"/>
    <w:rsid w:val="005D352F"/>
    <w:rsid w:val="005D7A4B"/>
    <w:rsid w:val="005E2A92"/>
    <w:rsid w:val="005F0324"/>
    <w:rsid w:val="006017DD"/>
    <w:rsid w:val="00624B42"/>
    <w:rsid w:val="00626697"/>
    <w:rsid w:val="00660822"/>
    <w:rsid w:val="00674446"/>
    <w:rsid w:val="006748B8"/>
    <w:rsid w:val="00677F62"/>
    <w:rsid w:val="00694D03"/>
    <w:rsid w:val="006A4411"/>
    <w:rsid w:val="006D4B03"/>
    <w:rsid w:val="006E0BB4"/>
    <w:rsid w:val="00750777"/>
    <w:rsid w:val="00766D3D"/>
    <w:rsid w:val="007A5823"/>
    <w:rsid w:val="007B4B28"/>
    <w:rsid w:val="007D2CDE"/>
    <w:rsid w:val="007F01FE"/>
    <w:rsid w:val="007F2879"/>
    <w:rsid w:val="00833B98"/>
    <w:rsid w:val="00836A52"/>
    <w:rsid w:val="00854AF6"/>
    <w:rsid w:val="00856700"/>
    <w:rsid w:val="008E3F77"/>
    <w:rsid w:val="008E66C0"/>
    <w:rsid w:val="00906C42"/>
    <w:rsid w:val="009515B3"/>
    <w:rsid w:val="009632D1"/>
    <w:rsid w:val="00967458"/>
    <w:rsid w:val="009674DD"/>
    <w:rsid w:val="0097013C"/>
    <w:rsid w:val="00981FE4"/>
    <w:rsid w:val="009A689B"/>
    <w:rsid w:val="00A3661A"/>
    <w:rsid w:val="00A57A2A"/>
    <w:rsid w:val="00A72DB9"/>
    <w:rsid w:val="00A87676"/>
    <w:rsid w:val="00AA0B1D"/>
    <w:rsid w:val="00AB7D0E"/>
    <w:rsid w:val="00AF2F0E"/>
    <w:rsid w:val="00B3010D"/>
    <w:rsid w:val="00B67EFB"/>
    <w:rsid w:val="00B703AB"/>
    <w:rsid w:val="00B85DB4"/>
    <w:rsid w:val="00BA1A94"/>
    <w:rsid w:val="00BA5EF1"/>
    <w:rsid w:val="00BA7CC6"/>
    <w:rsid w:val="00BD4AA2"/>
    <w:rsid w:val="00BE7FFD"/>
    <w:rsid w:val="00BF3501"/>
    <w:rsid w:val="00C05980"/>
    <w:rsid w:val="00C125A8"/>
    <w:rsid w:val="00C246FA"/>
    <w:rsid w:val="00C27894"/>
    <w:rsid w:val="00C46382"/>
    <w:rsid w:val="00C74823"/>
    <w:rsid w:val="00C8001C"/>
    <w:rsid w:val="00CD64B9"/>
    <w:rsid w:val="00D10B35"/>
    <w:rsid w:val="00D46249"/>
    <w:rsid w:val="00DC10FC"/>
    <w:rsid w:val="00DE4E69"/>
    <w:rsid w:val="00DF434F"/>
    <w:rsid w:val="00DF6E01"/>
    <w:rsid w:val="00E13076"/>
    <w:rsid w:val="00E377FB"/>
    <w:rsid w:val="00E6704B"/>
    <w:rsid w:val="00E84920"/>
    <w:rsid w:val="00EA6C50"/>
    <w:rsid w:val="00EB7BDD"/>
    <w:rsid w:val="00EE278B"/>
    <w:rsid w:val="00F15275"/>
    <w:rsid w:val="00F200B7"/>
    <w:rsid w:val="00F20BB2"/>
    <w:rsid w:val="00F3187C"/>
    <w:rsid w:val="00F85CED"/>
    <w:rsid w:val="00F86E31"/>
    <w:rsid w:val="00F9061B"/>
    <w:rsid w:val="00F93F84"/>
    <w:rsid w:val="00FA6D2F"/>
    <w:rsid w:val="00FB0D28"/>
    <w:rsid w:val="00FC7FF0"/>
    <w:rsid w:val="00FF1908"/>
    <w:rsid w:val="079654CF"/>
    <w:rsid w:val="08803DC4"/>
    <w:rsid w:val="08DF08DA"/>
    <w:rsid w:val="090F1FB9"/>
    <w:rsid w:val="0DEA3B84"/>
    <w:rsid w:val="0E285EB7"/>
    <w:rsid w:val="17E10AD1"/>
    <w:rsid w:val="1948617A"/>
    <w:rsid w:val="19AF2699"/>
    <w:rsid w:val="1B615995"/>
    <w:rsid w:val="1BFB0CEC"/>
    <w:rsid w:val="1C3F000D"/>
    <w:rsid w:val="1CAF795B"/>
    <w:rsid w:val="22371A1A"/>
    <w:rsid w:val="255C3C0A"/>
    <w:rsid w:val="25AD290D"/>
    <w:rsid w:val="26567628"/>
    <w:rsid w:val="269779FB"/>
    <w:rsid w:val="2B4A2E5A"/>
    <w:rsid w:val="2B8773C0"/>
    <w:rsid w:val="2DA70D72"/>
    <w:rsid w:val="337B3EB0"/>
    <w:rsid w:val="3E983545"/>
    <w:rsid w:val="48A8110F"/>
    <w:rsid w:val="4C4215CA"/>
    <w:rsid w:val="4C5B6C93"/>
    <w:rsid w:val="4F940E9D"/>
    <w:rsid w:val="59AE14F1"/>
    <w:rsid w:val="5E6D71C1"/>
    <w:rsid w:val="5E9A42B6"/>
    <w:rsid w:val="5FE97F42"/>
    <w:rsid w:val="6086391A"/>
    <w:rsid w:val="64D7168B"/>
    <w:rsid w:val="65D71CF7"/>
    <w:rsid w:val="66790D1C"/>
    <w:rsid w:val="6B3D11CA"/>
    <w:rsid w:val="799306D5"/>
    <w:rsid w:val="7F510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spacing w:before="100" w:beforeAutospacing="1" w:after="100" w:afterAutospacing="1"/>
      <w:jc w:val="left"/>
      <w:outlineLvl w:val="0"/>
    </w:pPr>
    <w:rPr>
      <w:rFonts w:hint="eastAsia" w:ascii="宋体" w:hAnsi="宋体"/>
      <w:b/>
      <w:kern w:val="44"/>
      <w:sz w:val="48"/>
      <w:szCs w:val="48"/>
    </w:rPr>
  </w:style>
  <w:style w:type="paragraph" w:styleId="4">
    <w:name w:val="heading 3"/>
    <w:basedOn w:val="1"/>
    <w:next w:val="1"/>
    <w:link w:val="28"/>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5">
    <w:name w:val="Normal Indent"/>
    <w:basedOn w:val="1"/>
    <w:qFormat/>
    <w:uiPriority w:val="0"/>
    <w:pPr>
      <w:ind w:firstLine="420"/>
    </w:pPr>
    <w:rPr>
      <w:szCs w:val="20"/>
    </w:rPr>
  </w:style>
  <w:style w:type="paragraph" w:styleId="6">
    <w:name w:val="annotation text"/>
    <w:basedOn w:val="1"/>
    <w:link w:val="42"/>
    <w:qFormat/>
    <w:uiPriority w:val="0"/>
    <w:pPr>
      <w:jc w:val="left"/>
    </w:pPr>
  </w:style>
  <w:style w:type="paragraph" w:styleId="7">
    <w:name w:val="Body Text"/>
    <w:basedOn w:val="1"/>
    <w:link w:val="27"/>
    <w:unhideWhenUsed/>
    <w:qFormat/>
    <w:uiPriority w:val="99"/>
    <w:pPr>
      <w:spacing w:after="120"/>
    </w:pPr>
  </w:style>
  <w:style w:type="paragraph" w:styleId="8">
    <w:name w:val="Body Text Indent"/>
    <w:basedOn w:val="1"/>
    <w:qFormat/>
    <w:uiPriority w:val="0"/>
    <w:pPr>
      <w:spacing w:after="120"/>
      <w:ind w:left="420" w:leftChars="200"/>
    </w:pPr>
  </w:style>
  <w:style w:type="paragraph" w:styleId="9">
    <w:name w:val="Block Text"/>
    <w:basedOn w:val="1"/>
    <w:unhideWhenUsed/>
    <w:qFormat/>
    <w:uiPriority w:val="99"/>
    <w:pPr>
      <w:spacing w:after="120"/>
      <w:ind w:left="1440" w:leftChars="700" w:right="1440" w:rightChars="700"/>
    </w:pPr>
  </w:style>
  <w:style w:type="paragraph" w:styleId="10">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11">
    <w:name w:val="Date"/>
    <w:basedOn w:val="1"/>
    <w:next w:val="1"/>
    <w:qFormat/>
    <w:uiPriority w:val="0"/>
    <w:pPr>
      <w:ind w:left="100" w:leftChars="2500"/>
    </w:pPr>
    <w:rPr>
      <w:rFonts w:ascii="仿宋_GB2312" w:eastAsia="仿宋_GB2312"/>
      <w:b/>
      <w:sz w:val="36"/>
      <w:szCs w:val="36"/>
    </w:rPr>
  </w:style>
  <w:style w:type="paragraph" w:styleId="12">
    <w:name w:val="Balloon Text"/>
    <w:basedOn w:val="1"/>
    <w:link w:val="41"/>
    <w:qFormat/>
    <w:uiPriority w:val="99"/>
    <w:rPr>
      <w:sz w:val="18"/>
      <w:szCs w:val="18"/>
    </w:rPr>
  </w:style>
  <w:style w:type="paragraph" w:styleId="13">
    <w:name w:val="footer"/>
    <w:basedOn w:val="1"/>
    <w:link w:val="31"/>
    <w:qFormat/>
    <w:uiPriority w:val="99"/>
    <w:pPr>
      <w:tabs>
        <w:tab w:val="center" w:pos="4153"/>
        <w:tab w:val="right" w:pos="8306"/>
      </w:tabs>
      <w:snapToGrid w:val="0"/>
      <w:jc w:val="left"/>
    </w:pPr>
    <w:rPr>
      <w:sz w:val="18"/>
      <w:szCs w:val="18"/>
    </w:rPr>
  </w:style>
  <w:style w:type="paragraph" w:styleId="14">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kern w:val="0"/>
      <w:sz w:val="24"/>
    </w:rPr>
  </w:style>
  <w:style w:type="character" w:styleId="18">
    <w:name w:val="Strong"/>
    <w:qFormat/>
    <w:uiPriority w:val="0"/>
    <w:rPr>
      <w:b/>
      <w:bCs/>
    </w:rPr>
  </w:style>
  <w:style w:type="character" w:styleId="19">
    <w:name w:val="annotation reference"/>
    <w:basedOn w:val="17"/>
    <w:qFormat/>
    <w:uiPriority w:val="0"/>
    <w:rPr>
      <w:sz w:val="21"/>
      <w:szCs w:val="21"/>
    </w:rPr>
  </w:style>
  <w:style w:type="paragraph" w:customStyle="1" w:styleId="2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2">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3">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5">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6">
    <w:name w:val="标题 1 字符"/>
    <w:basedOn w:val="17"/>
    <w:link w:val="3"/>
    <w:qFormat/>
    <w:uiPriority w:val="9"/>
    <w:rPr>
      <w:rFonts w:ascii="宋体" w:hAnsi="宋体"/>
      <w:b/>
      <w:kern w:val="44"/>
      <w:sz w:val="48"/>
      <w:szCs w:val="48"/>
    </w:rPr>
  </w:style>
  <w:style w:type="character" w:customStyle="1" w:styleId="27">
    <w:name w:val="正文文本 字符"/>
    <w:basedOn w:val="17"/>
    <w:link w:val="7"/>
    <w:qFormat/>
    <w:uiPriority w:val="99"/>
    <w:rPr>
      <w:kern w:val="2"/>
      <w:sz w:val="21"/>
      <w:szCs w:val="24"/>
    </w:rPr>
  </w:style>
  <w:style w:type="character" w:customStyle="1" w:styleId="28">
    <w:name w:val="标题 3 字符"/>
    <w:basedOn w:val="17"/>
    <w:link w:val="4"/>
    <w:qFormat/>
    <w:uiPriority w:val="0"/>
    <w:rPr>
      <w:rFonts w:ascii="宋体" w:hAnsi="宋体" w:cs="宋体"/>
      <w:b/>
      <w:bCs/>
      <w:sz w:val="27"/>
      <w:szCs w:val="27"/>
    </w:rPr>
  </w:style>
  <w:style w:type="character" w:customStyle="1" w:styleId="29">
    <w:name w:val="ca-01"/>
    <w:qFormat/>
    <w:uiPriority w:val="0"/>
    <w:rPr>
      <w:rFonts w:hint="eastAsia" w:ascii="宋体" w:hAnsi="宋体" w:eastAsia="宋体"/>
      <w:sz w:val="21"/>
      <w:szCs w:val="21"/>
    </w:rPr>
  </w:style>
  <w:style w:type="character" w:customStyle="1" w:styleId="30">
    <w:name w:val="页眉 字符"/>
    <w:link w:val="14"/>
    <w:qFormat/>
    <w:uiPriority w:val="99"/>
    <w:rPr>
      <w:kern w:val="2"/>
      <w:sz w:val="18"/>
      <w:szCs w:val="18"/>
    </w:rPr>
  </w:style>
  <w:style w:type="character" w:customStyle="1" w:styleId="31">
    <w:name w:val="页脚 字符"/>
    <w:link w:val="13"/>
    <w:qFormat/>
    <w:uiPriority w:val="99"/>
    <w:rPr>
      <w:kern w:val="2"/>
      <w:sz w:val="18"/>
      <w:szCs w:val="18"/>
    </w:rPr>
  </w:style>
  <w:style w:type="character" w:customStyle="1" w:styleId="32">
    <w:name w:val="页脚 字符1"/>
    <w:basedOn w:val="17"/>
    <w:semiHidden/>
    <w:qFormat/>
    <w:uiPriority w:val="99"/>
    <w:rPr>
      <w:kern w:val="2"/>
      <w:sz w:val="18"/>
      <w:szCs w:val="18"/>
    </w:rPr>
  </w:style>
  <w:style w:type="paragraph" w:styleId="33">
    <w:name w:val="Intense Quote"/>
    <w:next w:val="1"/>
    <w:link w:val="34"/>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34">
    <w:name w:val="明显引用 字符"/>
    <w:basedOn w:val="17"/>
    <w:link w:val="33"/>
    <w:qFormat/>
    <w:uiPriority w:val="0"/>
    <w:rPr>
      <w:i/>
      <w:sz w:val="21"/>
    </w:rPr>
  </w:style>
  <w:style w:type="paragraph" w:customStyle="1" w:styleId="35">
    <w:name w:val="Default"/>
    <w:next w:val="3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p0"/>
    <w:basedOn w:val="1"/>
    <w:qFormat/>
    <w:uiPriority w:val="0"/>
    <w:pPr>
      <w:widowControl/>
      <w:jc w:val="left"/>
    </w:pPr>
    <w:rPr>
      <w:rFonts w:cs="宋体"/>
      <w:kern w:val="0"/>
      <w:sz w:val="24"/>
      <w:szCs w:val="21"/>
    </w:rPr>
  </w:style>
  <w:style w:type="paragraph" w:customStyle="1" w:styleId="37">
    <w:name w:val="_Style 8"/>
    <w:basedOn w:val="1"/>
    <w:next w:val="38"/>
    <w:qFormat/>
    <w:uiPriority w:val="34"/>
    <w:pPr>
      <w:ind w:firstLine="420" w:firstLineChars="200"/>
    </w:pPr>
    <w:rPr>
      <w:rFonts w:ascii="Calibri" w:hAnsi="Calibri"/>
      <w:szCs w:val="22"/>
    </w:rPr>
  </w:style>
  <w:style w:type="paragraph" w:styleId="38">
    <w:name w:val="List Paragraph"/>
    <w:basedOn w:val="1"/>
    <w:qFormat/>
    <w:uiPriority w:val="34"/>
    <w:pPr>
      <w:ind w:firstLine="420" w:firstLineChars="200"/>
    </w:pPr>
  </w:style>
  <w:style w:type="character" w:customStyle="1" w:styleId="39">
    <w:name w:val="页眉 字符1"/>
    <w:basedOn w:val="17"/>
    <w:semiHidden/>
    <w:qFormat/>
    <w:uiPriority w:val="99"/>
    <w:rPr>
      <w:kern w:val="2"/>
      <w:sz w:val="18"/>
      <w:szCs w:val="18"/>
    </w:rPr>
  </w:style>
  <w:style w:type="paragraph" w:customStyle="1" w:styleId="40">
    <w:name w:val="Pa6"/>
    <w:basedOn w:val="1"/>
    <w:next w:val="1"/>
    <w:qFormat/>
    <w:uiPriority w:val="99"/>
    <w:pPr>
      <w:autoSpaceDE w:val="0"/>
      <w:autoSpaceDN w:val="0"/>
      <w:adjustRightInd w:val="0"/>
      <w:spacing w:line="161" w:lineRule="atLeast"/>
      <w:jc w:val="left"/>
    </w:pPr>
    <w:rPr>
      <w:rFonts w:ascii="Dell Replica Light" w:hAnsi="宋体" w:eastAsia="Dell Replica Light" w:cs="宋体"/>
      <w:kern w:val="0"/>
      <w:sz w:val="24"/>
    </w:rPr>
  </w:style>
  <w:style w:type="character" w:customStyle="1" w:styleId="41">
    <w:name w:val="批注框文本 字符"/>
    <w:basedOn w:val="17"/>
    <w:link w:val="12"/>
    <w:qFormat/>
    <w:uiPriority w:val="99"/>
    <w:rPr>
      <w:kern w:val="2"/>
      <w:sz w:val="18"/>
      <w:szCs w:val="18"/>
    </w:rPr>
  </w:style>
  <w:style w:type="character" w:customStyle="1" w:styleId="42">
    <w:name w:val="批注文字 字符"/>
    <w:basedOn w:val="17"/>
    <w:link w:val="6"/>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B4CF0C-D5F2-4952-BB3F-2270AF1D6193}">
  <ds:schemaRefs/>
</ds:datastoreItem>
</file>

<file path=docProps/app.xml><?xml version="1.0" encoding="utf-8"?>
<Properties xmlns="http://schemas.openxmlformats.org/officeDocument/2006/extended-properties" xmlns:vt="http://schemas.openxmlformats.org/officeDocument/2006/docPropsVTypes">
  <Template>Normal.dotm</Template>
  <Company>WRGHO.COM</Company>
  <Pages>56</Pages>
  <Words>5563</Words>
  <Characters>31713</Characters>
  <Lines>264</Lines>
  <Paragraphs>74</Paragraphs>
  <TotalTime>79</TotalTime>
  <ScaleCrop>false</ScaleCrop>
  <LinksUpToDate>false</LinksUpToDate>
  <CharactersWithSpaces>37202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2021-04-16T07:50:00Z</dcterms:created>
  <dc:creator>周建红</dc:creator>
  <cp:lastModifiedBy>周建红</cp:lastModifiedBy>
  <cp:lastPrinted>2021-04-23T02:15:19Z</cp:lastPrinted>
  <dcterms:modified xsi:type="dcterms:W3CDTF">2021-04-23T02:32:11Z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0CA31FE609294F53816FD1A0D4E53C3D</vt:lpwstr>
  </property>
</Properties>
</file>