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jc w:val="center"/>
        <w:rPr>
          <w:b/>
          <w:color w:val="000000"/>
          <w:sz w:val="48"/>
          <w:szCs w:val="48"/>
        </w:rPr>
      </w:pPr>
      <w:r>
        <w:rPr>
          <w:rFonts w:hint="eastAsia"/>
          <w:b/>
          <w:color w:val="000000"/>
          <w:sz w:val="48"/>
          <w:szCs w:val="48"/>
        </w:rPr>
        <w:t>显</w:t>
      </w:r>
      <w:r>
        <w:rPr>
          <w:rFonts w:hint="eastAsia"/>
          <w:b/>
          <w:color w:val="000000"/>
          <w:sz w:val="48"/>
          <w:szCs w:val="48"/>
          <w:lang w:val="en-US" w:eastAsia="zh-CN"/>
        </w:rPr>
        <w:t xml:space="preserve"> </w:t>
      </w:r>
      <w:r>
        <w:rPr>
          <w:rFonts w:hint="eastAsia"/>
          <w:b/>
          <w:color w:val="000000"/>
          <w:sz w:val="48"/>
          <w:szCs w:val="48"/>
        </w:rPr>
        <w:t>微</w:t>
      </w:r>
      <w:r>
        <w:rPr>
          <w:rFonts w:hint="eastAsia"/>
          <w:b/>
          <w:color w:val="000000"/>
          <w:sz w:val="48"/>
          <w:szCs w:val="48"/>
          <w:lang w:val="en-US" w:eastAsia="zh-CN"/>
        </w:rPr>
        <w:t xml:space="preserve"> </w:t>
      </w:r>
      <w:r>
        <w:rPr>
          <w:rFonts w:hint="eastAsia"/>
          <w:b/>
          <w:color w:val="000000"/>
          <w:sz w:val="48"/>
          <w:szCs w:val="48"/>
        </w:rPr>
        <w:t>分</w:t>
      </w:r>
      <w:r>
        <w:rPr>
          <w:rFonts w:hint="eastAsia"/>
          <w:b/>
          <w:color w:val="000000"/>
          <w:sz w:val="48"/>
          <w:szCs w:val="48"/>
          <w:lang w:val="en-US" w:eastAsia="zh-CN"/>
        </w:rPr>
        <w:t xml:space="preserve"> </w:t>
      </w:r>
      <w:r>
        <w:rPr>
          <w:rFonts w:hint="eastAsia"/>
          <w:b/>
          <w:color w:val="000000"/>
          <w:sz w:val="48"/>
          <w:szCs w:val="48"/>
        </w:rPr>
        <w:t>析</w:t>
      </w:r>
      <w:r>
        <w:rPr>
          <w:rFonts w:hint="eastAsia"/>
          <w:b/>
          <w:color w:val="000000"/>
          <w:sz w:val="48"/>
          <w:szCs w:val="48"/>
          <w:lang w:val="en-US" w:eastAsia="zh-CN"/>
        </w:rPr>
        <w:t xml:space="preserve"> </w:t>
      </w:r>
      <w:r>
        <w:rPr>
          <w:rFonts w:hint="eastAsia"/>
          <w:b/>
          <w:color w:val="000000"/>
          <w:sz w:val="48"/>
          <w:szCs w:val="48"/>
        </w:rPr>
        <w:t>设</w:t>
      </w:r>
      <w:r>
        <w:rPr>
          <w:rFonts w:hint="eastAsia"/>
          <w:b/>
          <w:color w:val="000000"/>
          <w:sz w:val="48"/>
          <w:szCs w:val="48"/>
          <w:lang w:val="en-US" w:eastAsia="zh-CN"/>
        </w:rPr>
        <w:t xml:space="preserve"> </w:t>
      </w:r>
      <w:r>
        <w:rPr>
          <w:rFonts w:hint="eastAsia"/>
          <w:b/>
          <w:color w:val="000000"/>
          <w:sz w:val="48"/>
          <w:szCs w:val="48"/>
        </w:rPr>
        <w:t>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ascii="宋体" w:hAnsi="宋体"/>
          <w:b/>
          <w:bCs/>
          <w:color w:val="000000"/>
          <w:sz w:val="32"/>
        </w:rPr>
        <w:t>2</w:t>
      </w:r>
      <w:r>
        <w:rPr>
          <w:rFonts w:hint="eastAsia" w:ascii="宋体" w:hAnsi="宋体"/>
          <w:b/>
          <w:bCs/>
          <w:color w:val="000000"/>
          <w:sz w:val="32"/>
        </w:rPr>
        <w:t>年</w:t>
      </w:r>
      <w:r>
        <w:rPr>
          <w:rFonts w:ascii="宋体" w:hAnsi="宋体"/>
          <w:b/>
          <w:bCs/>
          <w:color w:val="000000"/>
          <w:sz w:val="32"/>
        </w:rPr>
        <w:t>1</w:t>
      </w:r>
      <w:r>
        <w:rPr>
          <w:rFonts w:hint="eastAsia" w:ascii="宋体" w:hAnsi="宋体"/>
          <w:b/>
          <w:bCs/>
          <w:color w:val="000000"/>
          <w:sz w:val="32"/>
          <w:lang w:val="en-US" w:eastAsia="zh-CN"/>
        </w:rPr>
        <w:t>1</w:t>
      </w:r>
      <w:r>
        <w:rPr>
          <w:rFonts w:hint="eastAsia" w:ascii="宋体" w:hAnsi="宋体"/>
          <w:b/>
          <w:bCs/>
          <w:color w:val="000000"/>
          <w:sz w:val="32"/>
        </w:rPr>
        <w:t>月</w:t>
      </w:r>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……………………………………20</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……………………………24</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……………………28</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显微分析设备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eastAsia" w:ascii="宋体" w:hAnsi="宋体" w:eastAsia="宋体"/>
          <w:b/>
          <w:color w:val="000000"/>
          <w:sz w:val="24"/>
          <w:lang w:eastAsia="zh-CN"/>
        </w:rPr>
      </w:pPr>
      <w:r>
        <w:rPr>
          <w:rFonts w:hint="eastAsia" w:ascii="宋体" w:hAnsi="宋体"/>
          <w:b/>
          <w:bCs/>
          <w:color w:val="000000"/>
          <w:sz w:val="24"/>
        </w:rPr>
        <w:t>一、项目编号：</w:t>
      </w:r>
      <w:r>
        <w:rPr>
          <w:rFonts w:hint="eastAsia" w:ascii="宋体" w:hAnsi="宋体"/>
          <w:b/>
          <w:color w:val="000000"/>
          <w:sz w:val="24"/>
        </w:rPr>
        <w:t>衢院招2022-50</w:t>
      </w:r>
      <w:r>
        <w:rPr>
          <w:rFonts w:hint="eastAsia" w:ascii="宋体" w:hAnsi="宋体"/>
          <w:b/>
          <w:color w:val="000000"/>
          <w:sz w:val="24"/>
          <w:lang w:eastAsia="zh-CN"/>
        </w:rPr>
        <w:t>（</w:t>
      </w:r>
      <w:r>
        <w:rPr>
          <w:rFonts w:hint="eastAsia" w:ascii="宋体" w:hAnsi="宋体"/>
          <w:b/>
          <w:color w:val="000000"/>
          <w:sz w:val="24"/>
          <w:lang w:val="en-US" w:eastAsia="zh-CN"/>
        </w:rPr>
        <w:t>第二次</w:t>
      </w:r>
      <w:r>
        <w:rPr>
          <w:rFonts w:hint="eastAsia" w:ascii="宋体" w:hAnsi="宋体"/>
          <w:b/>
          <w:color w:val="000000"/>
          <w:sz w:val="24"/>
          <w:lang w:eastAsia="zh-CN"/>
        </w:rPr>
        <w:t>）</w:t>
      </w:r>
    </w:p>
    <w:p>
      <w:pPr>
        <w:spacing w:line="360" w:lineRule="auto"/>
        <w:ind w:firstLine="495"/>
        <w:rPr>
          <w:rFonts w:ascii="宋体" w:hAnsi="宋体"/>
          <w:b/>
          <w:color w:val="000000"/>
          <w:sz w:val="24"/>
        </w:rPr>
      </w:pPr>
      <w:r>
        <w:rPr>
          <w:rFonts w:hint="eastAsia" w:ascii="宋体" w:hAnsi="宋体"/>
          <w:b/>
          <w:color w:val="000000"/>
          <w:sz w:val="24"/>
        </w:rPr>
        <w:t>二、项目名称：显微分析设备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显微分析设备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360" w:lineRule="auto"/>
              <w:jc w:val="center"/>
              <w:rPr>
                <w:rFonts w:ascii="宋体" w:hAnsi="宋体"/>
                <w:color w:val="000000"/>
              </w:rPr>
            </w:pPr>
            <w:r>
              <w:rPr>
                <w:rFonts w:hint="eastAsia" w:ascii="宋体" w:hAnsi="宋体" w:cs="宋体"/>
                <w:color w:val="000000"/>
                <w:kern w:val="0"/>
                <w:sz w:val="24"/>
              </w:rPr>
              <w:t>要求为准</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3"/>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cs="宋体"/>
          <w:color w:val="000000"/>
        </w:rPr>
      </w:pPr>
      <w:r>
        <w:rPr>
          <w:rFonts w:hint="eastAsia" w:cs="宋体"/>
          <w:color w:val="000000"/>
        </w:rPr>
        <w:t>   2.落实政府采购政策需满足的资格要求：供应商为</w:t>
      </w:r>
      <w:r>
        <w:rPr>
          <w:rFonts w:hint="eastAsia" w:cs="宋体"/>
        </w:rPr>
        <w:t>中</w:t>
      </w:r>
      <w:r>
        <w:rPr>
          <w:rFonts w:hint="eastAsia"/>
        </w:rPr>
        <w:t>小微企业、监狱或戒毒企业、残疾人福利性单位</w:t>
      </w:r>
      <w:r>
        <w:rPr>
          <w:rFonts w:hint="eastAsia" w:cs="宋体"/>
          <w:color w:val="000000"/>
        </w:rPr>
        <w:t>。</w:t>
      </w:r>
    </w:p>
    <w:p>
      <w:pPr>
        <w:pStyle w:val="13"/>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w:t>
      </w:r>
      <w:r>
        <w:rPr>
          <w:rFonts w:hint="eastAsia"/>
          <w:color w:val="FF0000"/>
          <w:sz w:val="24"/>
          <w:highlight w:val="yellow"/>
          <w:lang w:val="en-US" w:eastAsia="zh-CN"/>
        </w:rPr>
        <w:t>2</w:t>
      </w:r>
      <w:r>
        <w:rPr>
          <w:rFonts w:hint="eastAsia"/>
          <w:color w:val="FF0000"/>
          <w:sz w:val="24"/>
          <w:highlight w:val="yellow"/>
        </w:rPr>
        <w:t>月</w:t>
      </w:r>
      <w:r>
        <w:rPr>
          <w:rFonts w:hint="eastAsia"/>
          <w:color w:val="FF0000"/>
          <w:sz w:val="24"/>
          <w:highlight w:val="yellow"/>
          <w:lang w:val="en-US" w:eastAsia="zh-CN"/>
        </w:rPr>
        <w:t>7</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3"/>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3"/>
        <w:spacing w:line="360" w:lineRule="auto"/>
        <w:ind w:firstLine="480"/>
        <w:rPr>
          <w:rFonts w:ascii="宋体" w:hAnsi="宋体" w:cs="宋体"/>
          <w:sz w:val="24"/>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”进行查阅。完成CA数字证书办理预计一周左右，建议各投标人抓紧时间办理。CA数字证书使用中出现问题可拨打技术支持电话咨询，联系方式：400-888-4636。</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七、递交投标文件截止及开标时间：202</w:t>
      </w:r>
      <w:r>
        <w:rPr>
          <w:rFonts w:ascii="宋体" w:hAnsi="宋体" w:cs="仿宋_GB2312"/>
          <w:b/>
          <w:bCs/>
          <w:color w:val="000000" w:themeColor="text1"/>
          <w:sz w:val="24"/>
          <w14:textFill>
            <w14:solidFill>
              <w14:schemeClr w14:val="tx1"/>
            </w14:solidFill>
          </w14:textFill>
        </w:rPr>
        <w:t>2</w:t>
      </w:r>
      <w:r>
        <w:rPr>
          <w:rFonts w:hint="eastAsia" w:ascii="宋体" w:hAnsi="宋体" w:cs="仿宋_GB2312"/>
          <w:b/>
          <w:bCs/>
          <w:color w:val="000000" w:themeColor="text1"/>
          <w:sz w:val="24"/>
          <w14:textFill>
            <w14:solidFill>
              <w14:schemeClr w14:val="tx1"/>
            </w14:solidFill>
          </w14:textFill>
        </w:rPr>
        <w:t>年</w:t>
      </w:r>
      <w:r>
        <w:rPr>
          <w:rFonts w:hint="eastAsia" w:ascii="宋体" w:hAnsi="宋体" w:cs="仿宋_GB2312"/>
          <w:b/>
          <w:bCs/>
          <w:color w:val="000000" w:themeColor="text1"/>
          <w:sz w:val="24"/>
          <w:lang w:val="en-US" w:eastAsia="zh-CN"/>
          <w14:textFill>
            <w14:solidFill>
              <w14:schemeClr w14:val="tx1"/>
            </w14:solidFill>
          </w14:textFill>
        </w:rPr>
        <w:t>12</w:t>
      </w:r>
      <w:r>
        <w:rPr>
          <w:rFonts w:hint="eastAsia" w:ascii="宋体" w:hAnsi="宋体" w:cs="仿宋_GB2312"/>
          <w:b/>
          <w:bCs/>
          <w:color w:val="000000" w:themeColor="text1"/>
          <w:sz w:val="24"/>
          <w14:textFill>
            <w14:solidFill>
              <w14:schemeClr w14:val="tx1"/>
            </w14:solidFill>
          </w14:textFill>
        </w:rPr>
        <w:t>月</w:t>
      </w:r>
      <w:r>
        <w:rPr>
          <w:rFonts w:hint="eastAsia" w:ascii="宋体" w:hAnsi="宋体" w:cs="仿宋_GB2312"/>
          <w:b/>
          <w:bCs/>
          <w:color w:val="000000" w:themeColor="text1"/>
          <w:sz w:val="24"/>
          <w:lang w:val="en-US" w:eastAsia="zh-CN"/>
          <w14:textFill>
            <w14:solidFill>
              <w14:schemeClr w14:val="tx1"/>
            </w14:solidFill>
          </w14:textFill>
        </w:rPr>
        <w:t>7</w:t>
      </w:r>
      <w:r>
        <w:rPr>
          <w:rFonts w:hint="eastAsia" w:ascii="宋体" w:hAnsi="宋体" w:cs="仿宋_GB2312"/>
          <w:b/>
          <w:bCs/>
          <w:color w:val="000000" w:themeColor="text1"/>
          <w:sz w:val="24"/>
          <w14:textFill>
            <w14:solidFill>
              <w14:schemeClr w14:val="tx1"/>
            </w14:solidFill>
          </w14:textFill>
        </w:rPr>
        <w:t>日14:00时（北京时间）</w:t>
      </w:r>
    </w:p>
    <w:p>
      <w:pPr>
        <w:snapToGrid w:val="0"/>
        <w:spacing w:line="360" w:lineRule="auto"/>
        <w:ind w:firstLine="480" w:firstLineChars="200"/>
        <w:rPr>
          <w:rFonts w:hAnsi="宋体" w:cs="仿宋_GB2312"/>
          <w:sz w:val="24"/>
        </w:rPr>
      </w:pPr>
      <w:r>
        <w:rPr>
          <w:rFonts w:hint="eastAsia" w:ascii="宋体" w:hAnsi="宋体" w:cs="仿宋_GB2312"/>
          <w:sz w:val="24"/>
        </w:rPr>
        <w:t>1.投标人应当在投标截止时间前完成电子投标文件的传输递交，投标截止时间前可以补充、修改或者撤回电子投标文件。补充或者修改电子投标文件的，应</w:t>
      </w:r>
      <w:r>
        <w:rPr>
          <w:rFonts w:hint="eastAsia" w:hAnsi="宋体" w:cs="仿宋_GB2312"/>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w:t>
      </w:r>
      <w:r>
        <w:rPr>
          <w:rFonts w:hint="eastAsia" w:ascii="宋体" w:hAnsi="宋体" w:cs="仿宋_GB2312"/>
          <w:sz w:val="24"/>
          <w:lang w:val="en-US" w:eastAsia="zh-CN"/>
        </w:rPr>
        <w:t>开</w:t>
      </w:r>
      <w:r>
        <w:rPr>
          <w:rFonts w:hint="eastAsia" w:ascii="宋体" w:hAnsi="宋体" w:cs="仿宋_GB2312"/>
          <w:sz w:val="24"/>
        </w:rPr>
        <w:t>标室（行政楼12</w:t>
      </w:r>
      <w:r>
        <w:rPr>
          <w:rFonts w:hint="eastAsia" w:ascii="宋体" w:hAnsi="宋体" w:cs="仿宋_GB2312"/>
          <w:sz w:val="24"/>
          <w:lang w:val="en-US" w:eastAsia="zh-CN"/>
        </w:rPr>
        <w:t>1室</w:t>
      </w:r>
      <w:r>
        <w:rPr>
          <w:rFonts w:hint="eastAsia" w:ascii="宋体" w:hAnsi="宋体" w:cs="仿宋_GB2312"/>
          <w:sz w:val="24"/>
          <w:lang w:eastAsia="zh-CN"/>
        </w:rPr>
        <w:t>）</w:t>
      </w:r>
      <w:r>
        <w:rPr>
          <w:rFonts w:hint="eastAsia" w:ascii="宋体" w:hAnsi="宋体" w:cs="仿宋_GB2312"/>
          <w:sz w:val="24"/>
        </w:rPr>
        <w:t>。</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2022年</w:t>
      </w:r>
      <w:r>
        <w:rPr>
          <w:rFonts w:hint="eastAsia" w:ascii="宋体" w:hAnsi="宋体"/>
          <w:bCs/>
          <w:color w:val="000000" w:themeColor="text1"/>
          <w:sz w:val="24"/>
          <w:highlight w:val="yellow"/>
          <w14:textFill>
            <w14:solidFill>
              <w14:schemeClr w14:val="tx1"/>
            </w14:solidFill>
          </w14:textFill>
        </w:rPr>
        <w:t>1</w:t>
      </w:r>
      <w:r>
        <w:rPr>
          <w:rFonts w:hint="eastAsia" w:ascii="宋体" w:hAnsi="宋体"/>
          <w:bCs/>
          <w:color w:val="000000" w:themeColor="text1"/>
          <w:sz w:val="24"/>
          <w:highlight w:val="yellow"/>
          <w:lang w:val="en-US" w:eastAsia="zh-CN"/>
          <w14:textFill>
            <w14:solidFill>
              <w14:schemeClr w14:val="tx1"/>
            </w14:solidFill>
          </w14:textFill>
        </w:rPr>
        <w:t>1</w:t>
      </w:r>
      <w:r>
        <w:rPr>
          <w:rFonts w:hint="eastAsia" w:ascii="宋体" w:hAnsi="宋体"/>
          <w:bCs/>
          <w:color w:val="000000" w:themeColor="text1"/>
          <w:sz w:val="24"/>
          <w:highlight w:val="yellow"/>
          <w14:textFill>
            <w14:solidFill>
              <w14:schemeClr w14:val="tx1"/>
            </w14:solidFill>
          </w14:textFill>
        </w:rPr>
        <w:t>月</w:t>
      </w:r>
      <w:r>
        <w:rPr>
          <w:rFonts w:hint="eastAsia" w:ascii="宋体" w:hAnsi="宋体"/>
          <w:bCs/>
          <w:color w:val="000000" w:themeColor="text1"/>
          <w:sz w:val="24"/>
          <w:highlight w:val="yellow"/>
          <w:lang w:val="en-US" w:eastAsia="zh-CN"/>
          <w14:textFill>
            <w14:solidFill>
              <w14:schemeClr w14:val="tx1"/>
            </w14:solidFill>
          </w14:textFill>
        </w:rPr>
        <w:t>17</w:t>
      </w:r>
      <w:r>
        <w:rPr>
          <w:rFonts w:hint="eastAsia" w:ascii="宋体" w:hAnsi="宋体"/>
          <w:bCs/>
          <w:color w:val="000000" w:themeColor="text1"/>
          <w:sz w:val="24"/>
          <w:highlight w:val="yellow"/>
          <w14:textFill>
            <w14:solidFill>
              <w14:schemeClr w14:val="tx1"/>
            </w14:solidFill>
          </w14:textFill>
        </w:rPr>
        <w:t>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w:t>
      </w:r>
      <w:r>
        <w:rPr>
          <w:rFonts w:hint="eastAsia" w:ascii="宋体" w:hAnsi="宋体"/>
          <w:sz w:val="24"/>
        </w:rPr>
        <w:t>认为响应招标文件要求。</w:t>
      </w:r>
    </w:p>
    <w:p>
      <w:pPr>
        <w:snapToGrid w:val="0"/>
        <w:spacing w:line="360" w:lineRule="auto"/>
        <w:ind w:firstLine="480" w:firstLineChars="200"/>
        <w:rPr>
          <w:rFonts w:ascii="宋体" w:hAnsi="宋体"/>
          <w:sz w:val="24"/>
        </w:rPr>
      </w:pPr>
      <w:r>
        <w:rPr>
          <w:rFonts w:hint="eastAsia" w:ascii="宋体" w:hAnsi="宋体"/>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9</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Theme="minorEastAsia" w:hAnsiTheme="minorEastAsia" w:eastAsiaTheme="minorEastAsia" w:cstheme="minorEastAsia"/>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firstLine="480" w:firstLineChars="20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firstLine="480" w:firstLineChars="20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firstLine="480" w:firstLineChars="20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firstLine="480" w:firstLineChars="20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firstLine="480" w:firstLineChars="20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000000"/>
          <w:kern w:val="0"/>
          <w:sz w:val="24"/>
        </w:rPr>
        <w:t>2021年6月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color w:val="000000"/>
          <w:kern w:val="0"/>
          <w:sz w:val="24"/>
          <w:highlight w:val="yellow"/>
        </w:rPr>
        <w:t>3</w:t>
      </w:r>
      <w:r>
        <w:rPr>
          <w:rFonts w:hint="eastAsia" w:ascii="宋体" w:hAnsi="宋体"/>
          <w:b/>
          <w:color w:val="000000"/>
          <w:kern w:val="0"/>
          <w:sz w:val="24"/>
          <w:highlight w:val="yellow"/>
        </w:rPr>
        <w:t>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color w:val="000000"/>
          <w:kern w:val="0"/>
          <w:sz w:val="24"/>
        </w:rPr>
        <w:t>1年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采购设备名称</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单位</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显微分析设备</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color w:val="000000"/>
                <w:sz w:val="24"/>
              </w:rPr>
              <w:t>批</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rPr>
            </w:pPr>
            <w:bookmarkStart w:id="5" w:name="_Hlk106889814"/>
            <w:r>
              <w:rPr>
                <w:rFonts w:hint="eastAsia" w:ascii="宋体" w:hAnsi="宋体" w:cs="宋体"/>
                <w:b/>
                <w:bCs/>
                <w:color w:val="000000"/>
                <w:sz w:val="24"/>
              </w:rPr>
              <w:t>序号</w:t>
            </w:r>
          </w:p>
        </w:tc>
        <w:tc>
          <w:tcPr>
            <w:tcW w:w="552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名称</w:t>
            </w:r>
          </w:p>
        </w:tc>
        <w:tc>
          <w:tcPr>
            <w:tcW w:w="70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单位</w:t>
            </w:r>
          </w:p>
        </w:tc>
        <w:tc>
          <w:tcPr>
            <w:tcW w:w="85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1</w:t>
            </w:r>
          </w:p>
        </w:tc>
        <w:tc>
          <w:tcPr>
            <w:tcW w:w="5528"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通用过程气体在线分析仪</w:t>
            </w:r>
          </w:p>
        </w:tc>
        <w:tc>
          <w:tcPr>
            <w:tcW w:w="709"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856"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lang w:val="zh-CN"/>
              </w:rPr>
              <w:t>2</w:t>
            </w:r>
          </w:p>
        </w:tc>
        <w:tc>
          <w:tcPr>
            <w:tcW w:w="5528" w:type="dxa"/>
            <w:shd w:val="clear" w:color="auto" w:fill="FFFFFF"/>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单分子检测仪</w:t>
            </w:r>
          </w:p>
        </w:tc>
        <w:tc>
          <w:tcPr>
            <w:tcW w:w="70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台</w:t>
            </w:r>
          </w:p>
        </w:tc>
        <w:tc>
          <w:tcPr>
            <w:tcW w:w="856" w:type="dxa"/>
            <w:vAlign w:val="center"/>
          </w:tcPr>
          <w:p>
            <w:pPr>
              <w:spacing w:line="360" w:lineRule="auto"/>
              <w:jc w:val="center"/>
              <w:rPr>
                <w:rFonts w:ascii="宋体" w:hAnsi="宋体" w:cs="宋体"/>
                <w:bCs/>
                <w:color w:val="000000"/>
                <w:kern w:val="0"/>
                <w:sz w:val="24"/>
                <w:lang w:val="zh-CN"/>
              </w:rPr>
            </w:pPr>
            <w:r>
              <w:rPr>
                <w:rFonts w:hint="eastAsia" w:ascii="宋体" w:hAnsi="宋体" w:cs="宋体"/>
                <w:bCs/>
                <w:color w:val="000000"/>
                <w:kern w:val="0"/>
                <w:sz w:val="24"/>
              </w:rPr>
              <w:t>1</w:t>
            </w:r>
          </w:p>
        </w:tc>
      </w:tr>
      <w:bookmarkEnd w:id="5"/>
    </w:tbl>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highlight w:val="yellow"/>
        </w:rPr>
        <w:t>投标人具有稳定、可靠的服务机构。具有可靠的技术培训和应用支持能力。有专业的培训中心，可随时接收用户操作、维护等方面的培训要求。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4"/>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35"/>
        <w:gridCol w:w="59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10" w:type="dxa"/>
            <w:vAlign w:val="center"/>
          </w:tcPr>
          <w:p>
            <w:pPr>
              <w:spacing w:line="360" w:lineRule="auto"/>
              <w:jc w:val="center"/>
              <w:rPr>
                <w:b/>
                <w:color w:val="000000"/>
                <w:szCs w:val="21"/>
              </w:rPr>
            </w:pPr>
            <w:r>
              <w:rPr>
                <w:b/>
                <w:bCs/>
                <w:color w:val="000000"/>
                <w:szCs w:val="21"/>
              </w:rPr>
              <w:t>序号</w:t>
            </w:r>
          </w:p>
        </w:tc>
        <w:tc>
          <w:tcPr>
            <w:tcW w:w="835"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5943" w:type="dxa"/>
            <w:vAlign w:val="center"/>
          </w:tcPr>
          <w:p>
            <w:pPr>
              <w:spacing w:line="360" w:lineRule="auto"/>
              <w:jc w:val="center"/>
              <w:rPr>
                <w:b/>
                <w:bCs/>
                <w:color w:val="000000"/>
                <w:szCs w:val="21"/>
              </w:rPr>
            </w:pPr>
            <w:r>
              <w:rPr>
                <w:b/>
                <w:bCs/>
                <w:color w:val="000000"/>
                <w:szCs w:val="21"/>
              </w:rPr>
              <w:t>规格型号或技术参数</w:t>
            </w:r>
          </w:p>
        </w:tc>
        <w:tc>
          <w:tcPr>
            <w:tcW w:w="65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通用过程气体在线分析仪</w:t>
            </w:r>
          </w:p>
        </w:tc>
        <w:tc>
          <w:tcPr>
            <w:tcW w:w="5943" w:type="dxa"/>
            <w:shd w:val="clear" w:color="auto" w:fill="FFFFFF"/>
            <w:vAlign w:val="center"/>
          </w:tcPr>
          <w:p>
            <w:pPr>
              <w:spacing w:line="440" w:lineRule="exact"/>
            </w:pPr>
            <w:r>
              <w:rPr>
                <w:rFonts w:hint="eastAsia"/>
              </w:rPr>
              <w:t xml:space="preserve">1. 可以实时在线对过程气体的组分及随时间变化的趋势进行分析。 </w:t>
            </w:r>
          </w:p>
          <w:p>
            <w:pPr>
              <w:spacing w:line="440" w:lineRule="exact"/>
            </w:pPr>
            <w:r>
              <w:rPr>
                <w:rFonts w:hint="eastAsia"/>
              </w:rPr>
              <w:t>2. 采用1/16英寸不锈钢毛细管与365微米石英毛细管为取样通道。</w:t>
            </w:r>
          </w:p>
          <w:p>
            <w:pPr>
              <w:spacing w:line="440" w:lineRule="exact"/>
            </w:pPr>
            <w:r>
              <w:rPr>
                <w:rFonts w:hint="eastAsia"/>
              </w:rPr>
              <w:t>3. 取样气流每分钟1-10毫升。</w:t>
            </w:r>
          </w:p>
          <w:p>
            <w:pPr>
              <w:spacing w:line="440" w:lineRule="exact"/>
            </w:pPr>
            <w:r>
              <w:rPr>
                <w:rFonts w:hint="eastAsia"/>
              </w:rPr>
              <w:t>4. 可以对2个大气压至100帕斯卡的分析过程气体进行取样。</w:t>
            </w:r>
          </w:p>
          <w:p>
            <w:pPr>
              <w:spacing w:line="440" w:lineRule="exact"/>
            </w:pPr>
            <w:r>
              <w:rPr>
                <w:rFonts w:hint="eastAsia"/>
              </w:rPr>
              <w:t>5. 取样响应时间不大于为3</w:t>
            </w:r>
            <w:r>
              <w:t>1</w:t>
            </w:r>
            <w:r>
              <w:rPr>
                <w:rFonts w:hint="eastAsia"/>
              </w:rPr>
              <w:t>0毫秒。</w:t>
            </w:r>
          </w:p>
          <w:p>
            <w:pPr>
              <w:spacing w:line="440" w:lineRule="exact"/>
            </w:pPr>
            <w:r>
              <w:rPr>
                <w:rFonts w:hint="eastAsia"/>
              </w:rPr>
              <w:t>▲6. 采用四级杆质谱作为分析方法。</w:t>
            </w:r>
          </w:p>
          <w:p>
            <w:pPr>
              <w:spacing w:line="440" w:lineRule="exact"/>
            </w:pPr>
            <w:r>
              <w:rPr>
                <w:rFonts w:hint="eastAsia"/>
              </w:rPr>
              <w:t>7. 质谱探测器采用法拉第杯和电子倍增器复合探测。</w:t>
            </w:r>
          </w:p>
          <w:p>
            <w:pPr>
              <w:spacing w:line="440" w:lineRule="exact"/>
            </w:pPr>
            <w:r>
              <w:rPr>
                <w:rFonts w:hint="eastAsia"/>
              </w:rPr>
              <w:t>8. 气体的探测灵敏度小于1ppm。</w:t>
            </w:r>
          </w:p>
          <w:p>
            <w:pPr>
              <w:spacing w:line="440" w:lineRule="exact"/>
            </w:pPr>
            <w:r>
              <w:rPr>
                <w:rFonts w:hint="eastAsia"/>
              </w:rPr>
              <w:t>9. 可分析气体分子的分子质量范围：1-100 amu。</w:t>
            </w:r>
          </w:p>
          <w:p>
            <w:pPr>
              <w:spacing w:line="440" w:lineRule="exact"/>
            </w:pPr>
            <w:r>
              <w:rPr>
                <w:rFonts w:hint="eastAsia"/>
              </w:rPr>
              <w:t>10. 质谱分辨率：在峰高10%处优于0.5ppm。</w:t>
            </w:r>
          </w:p>
          <w:p>
            <w:pPr>
              <w:spacing w:line="440" w:lineRule="exact"/>
              <w:rPr>
                <w:bCs/>
                <w:color w:val="000000"/>
                <w:szCs w:val="21"/>
              </w:rPr>
            </w:pPr>
            <w:r>
              <w:rPr>
                <w:rFonts w:hint="eastAsia"/>
              </w:rPr>
              <w:t>11. 通过USB接口直接与电脑进行连接，并且通过电脑进行控制以及数据采集。</w:t>
            </w:r>
          </w:p>
          <w:p>
            <w:pPr>
              <w:spacing w:line="440" w:lineRule="exact"/>
              <w:rPr>
                <w:bCs/>
                <w:color w:val="000000"/>
                <w:szCs w:val="21"/>
              </w:rPr>
            </w:pP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0"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pPr>
              <w:spacing w:line="360" w:lineRule="auto"/>
              <w:jc w:val="left"/>
              <w:rPr>
                <w:rFonts w:ascii="宋体" w:hAnsi="宋体" w:cs="宋体"/>
                <w:b/>
                <w:szCs w:val="21"/>
                <w:lang w:val="zh-CN"/>
              </w:rPr>
            </w:pPr>
            <w:r>
              <w:rPr>
                <w:rFonts w:hint="eastAsia"/>
                <w:b/>
                <w:color w:val="000000"/>
                <w:szCs w:val="21"/>
              </w:rPr>
              <w:t>单分子检测仪</w:t>
            </w:r>
          </w:p>
        </w:tc>
        <w:tc>
          <w:tcPr>
            <w:tcW w:w="5943" w:type="dxa"/>
            <w:shd w:val="clear" w:color="auto" w:fill="FFFFFF"/>
            <w:vAlign w:val="center"/>
          </w:tcPr>
          <w:p>
            <w:pPr>
              <w:spacing w:line="440" w:lineRule="exact"/>
            </w:pPr>
            <w:r>
              <w:t xml:space="preserve">1. </w:t>
            </w:r>
            <w:r>
              <w:rPr>
                <w:rFonts w:hint="eastAsia"/>
              </w:rPr>
              <w:t xml:space="preserve">可用于单分子水平检测感知。 </w:t>
            </w:r>
          </w:p>
          <w:p>
            <w:pPr>
              <w:spacing w:line="440" w:lineRule="exact"/>
            </w:pPr>
            <w:r>
              <w:rPr>
                <w:rFonts w:hint="eastAsia"/>
              </w:rPr>
              <w:t>2. 滤波频率为5 kHz，最大带宽为5 kHz，施加电压范围为±400 mV。</w:t>
            </w:r>
          </w:p>
          <w:p>
            <w:pPr>
              <w:spacing w:line="440" w:lineRule="exact"/>
            </w:pPr>
            <w:r>
              <w:rPr>
                <w:rFonts w:hint="eastAsia"/>
              </w:rPr>
              <w:t>3、集成便携：检测设备体积小，抗震和电磁屏蔽性能好，可实现现场便携检测。</w:t>
            </w:r>
          </w:p>
          <w:p>
            <w:pPr>
              <w:spacing w:line="440" w:lineRule="exact"/>
            </w:pPr>
            <w:r>
              <w:rPr>
                <w:rFonts w:hint="eastAsia"/>
              </w:rPr>
              <w:t>4.信号响应速度快：最高带宽100 kHz以上，采样速度最高250 kHz。</w:t>
            </w:r>
          </w:p>
          <w:p>
            <w:pPr>
              <w:spacing w:line="440" w:lineRule="exact"/>
            </w:pPr>
            <w:r>
              <w:rPr>
                <w:rFonts w:hint="eastAsia"/>
              </w:rPr>
              <w:t>▲5.要求采用USB供电并和PC进行数据通信，避免了常规仪器使用的交流电的电磁干扰，提升了仪器稳定性，降低了系统噪音；电流分辨率达到0.076 pA。</w:t>
            </w:r>
          </w:p>
          <w:p>
            <w:pPr>
              <w:spacing w:line="440" w:lineRule="exact"/>
            </w:pPr>
            <w:r>
              <w:rPr>
                <w:rFonts w:hint="eastAsia"/>
              </w:rPr>
              <w:t>6.最大采样速率：≥250 kHz。</w:t>
            </w:r>
          </w:p>
          <w:p>
            <w:pPr>
              <w:spacing w:line="440" w:lineRule="exact"/>
            </w:pPr>
            <w:r>
              <w:rPr>
                <w:rFonts w:hint="eastAsia"/>
              </w:rPr>
              <w:t>7</w:t>
            </w:r>
            <w:r>
              <w:t>.</w:t>
            </w:r>
            <w:r>
              <w:rPr>
                <w:rFonts w:hint="eastAsia"/>
              </w:rPr>
              <w:t>模数转换分辨率（位）：16。</w:t>
            </w:r>
          </w:p>
          <w:p>
            <w:pPr>
              <w:spacing w:line="440" w:lineRule="exact"/>
            </w:pPr>
            <w:r>
              <w:rPr>
                <w:rFonts w:hint="eastAsia"/>
              </w:rPr>
              <w:t>8</w:t>
            </w:r>
            <w:r>
              <w:t>.</w:t>
            </w:r>
            <w:r>
              <w:rPr>
                <w:rFonts w:hint="eastAsia"/>
              </w:rPr>
              <w:t>增益（mV/pA）：1。</w:t>
            </w:r>
          </w:p>
          <w:p>
            <w:pPr>
              <w:spacing w:line="440" w:lineRule="exact"/>
            </w:pPr>
            <w:r>
              <w:rPr>
                <w:rFonts w:hint="eastAsia"/>
              </w:rPr>
              <w:t>9</w:t>
            </w:r>
            <w:r>
              <w:t>.</w:t>
            </w:r>
            <w:r>
              <w:rPr>
                <w:rFonts w:hint="eastAsia"/>
              </w:rPr>
              <w:t>数据输出格式：abf。</w:t>
            </w:r>
          </w:p>
          <w:p>
            <w:pPr>
              <w:spacing w:line="440" w:lineRule="exact"/>
            </w:pPr>
            <w:r>
              <w:rPr>
                <w:rFonts w:hint="eastAsia"/>
              </w:rPr>
              <w:t>1</w:t>
            </w:r>
            <w:r>
              <w:t>.</w:t>
            </w:r>
            <w:r>
              <w:rPr>
                <w:rFonts w:hint="eastAsia"/>
              </w:rPr>
              <w:t>0数模转换分辨率(位)：16。</w:t>
            </w:r>
          </w:p>
          <w:p>
            <w:pPr>
              <w:spacing w:line="440" w:lineRule="exact"/>
            </w:pPr>
            <w:r>
              <w:rPr>
                <w:rFonts w:hint="eastAsia"/>
              </w:rPr>
              <w:t>▲11</w:t>
            </w:r>
            <w:r>
              <w:t>.</w:t>
            </w:r>
            <w:r>
              <w:rPr>
                <w:rFonts w:hint="eastAsia"/>
              </w:rPr>
              <w:t>要求配置法拉第屏蔽外壳。</w:t>
            </w:r>
          </w:p>
          <w:p>
            <w:pPr>
              <w:spacing w:line="440" w:lineRule="exact"/>
            </w:pPr>
            <w:r>
              <w:rPr>
                <w:rFonts w:hint="eastAsia"/>
              </w:rPr>
              <w:t>12</w:t>
            </w:r>
            <w:r>
              <w:t>.</w:t>
            </w:r>
            <w:r>
              <w:rPr>
                <w:rFonts w:hint="eastAsia"/>
              </w:rPr>
              <w:t>配置检测池。</w:t>
            </w:r>
          </w:p>
          <w:p>
            <w:pPr>
              <w:spacing w:line="440" w:lineRule="exact"/>
            </w:pPr>
            <w:r>
              <w:rPr>
                <w:rFonts w:hint="eastAsia"/>
              </w:rPr>
              <w:t>13</w:t>
            </w:r>
            <w:r>
              <w:t>.</w:t>
            </w:r>
            <w:r>
              <w:rPr>
                <w:rFonts w:hint="eastAsia"/>
              </w:rPr>
              <w:t>供电模式：USB 5V。</w:t>
            </w:r>
          </w:p>
          <w:p>
            <w:pPr>
              <w:spacing w:line="440" w:lineRule="exact"/>
            </w:pPr>
            <w:r>
              <w:rPr>
                <w:rFonts w:hint="eastAsia"/>
              </w:rPr>
              <w:t>14</w:t>
            </w:r>
            <w:r>
              <w:t>.</w:t>
            </w:r>
            <w:r>
              <w:rPr>
                <w:rFonts w:hint="eastAsia"/>
              </w:rPr>
              <w:t>施加电压范围（mV）：</w:t>
            </w:r>
            <w:r>
              <w:rPr>
                <w:rFonts w:hint="eastAsia"/>
              </w:rPr>
              <w:tab/>
            </w:r>
            <w:r>
              <w:rPr>
                <w:rFonts w:hint="eastAsia"/>
              </w:rPr>
              <w:t>±200。</w:t>
            </w:r>
          </w:p>
          <w:p>
            <w:pPr>
              <w:spacing w:line="440" w:lineRule="exact"/>
            </w:pPr>
            <w:r>
              <w:rPr>
                <w:rFonts w:hint="eastAsia"/>
              </w:rPr>
              <w:t>▲15</w:t>
            </w:r>
            <w:r>
              <w:t>.</w:t>
            </w:r>
            <w:r>
              <w:rPr>
                <w:rFonts w:hint="eastAsia"/>
              </w:rPr>
              <w:t>电流量程（pA）：±2500。</w:t>
            </w:r>
          </w:p>
        </w:tc>
        <w:tc>
          <w:tcPr>
            <w:tcW w:w="658" w:type="dxa"/>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1.提供2套随机文件：产品样本、选型手册、合格证明、使用手册等。另外，所有技术资料均提供电子版的1套。</w:t>
      </w:r>
    </w:p>
    <w:p>
      <w:pPr>
        <w:spacing w:line="360" w:lineRule="auto"/>
        <w:ind w:firstLine="480" w:firstLineChars="200"/>
        <w:rPr>
          <w:color w:val="000000"/>
          <w:sz w:val="24"/>
        </w:rPr>
      </w:pPr>
      <w:r>
        <w:rPr>
          <w:color w:val="000000"/>
          <w:sz w:val="24"/>
          <w:highlight w:val="yellow"/>
        </w:rPr>
        <w:t>2.</w:t>
      </w:r>
      <w:r>
        <w:rPr>
          <w:rFonts w:hint="eastAsia"/>
          <w:color w:val="000000"/>
          <w:sz w:val="24"/>
          <w:highlight w:val="yellow"/>
        </w:rPr>
        <w:t>提供生产商针对本项目授权书。</w:t>
      </w:r>
    </w:p>
    <w:p>
      <w:pPr>
        <w:spacing w:line="360" w:lineRule="auto"/>
        <w:ind w:firstLine="480" w:firstLineChars="200"/>
        <w:rPr>
          <w:color w:val="000000"/>
          <w:sz w:val="24"/>
          <w:highlight w:val="yellow"/>
        </w:rPr>
      </w:pPr>
      <w:r>
        <w:rPr>
          <w:color w:val="000000"/>
          <w:sz w:val="24"/>
        </w:rPr>
        <w:t>▲</w:t>
      </w:r>
      <w:r>
        <w:rPr>
          <w:color w:val="000000"/>
          <w:sz w:val="24"/>
          <w:highlight w:val="yellow"/>
        </w:rPr>
        <w:t>3.</w:t>
      </w:r>
      <w:r>
        <w:rPr>
          <w:rFonts w:hint="eastAsia"/>
          <w:color w:val="000000"/>
          <w:sz w:val="24"/>
          <w:highlight w:val="yellow"/>
        </w:rPr>
        <w:t>本项目采购仅限国产产品（不含配件、辅材），不接受进口产品</w:t>
      </w:r>
      <w:r>
        <w:rPr>
          <w:color w:val="000000"/>
          <w:sz w:val="24"/>
          <w:highlight w:val="yellow"/>
        </w:rPr>
        <w:t>。</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合同签订后</w:t>
      </w:r>
      <w:r>
        <w:rPr>
          <w:b/>
          <w:bCs/>
          <w:color w:val="000000"/>
          <w:sz w:val="24"/>
          <w:highlight w:val="yellow"/>
        </w:rPr>
        <w:t>30</w:t>
      </w:r>
      <w:r>
        <w:rPr>
          <w:b/>
          <w:bCs/>
          <w:color w:val="000000"/>
          <w:sz w:val="24"/>
        </w:rPr>
        <w:t>天内完成供货，质保期</w:t>
      </w:r>
      <w:r>
        <w:rPr>
          <w:rFonts w:hint="eastAsia"/>
          <w:b/>
          <w:bCs/>
          <w:color w:val="000000"/>
          <w:sz w:val="24"/>
        </w:rPr>
        <w:t>一</w:t>
      </w:r>
      <w:r>
        <w:rPr>
          <w:b/>
          <w:bCs/>
          <w:color w:val="000000"/>
          <w:sz w:val="24"/>
        </w:rPr>
        <w:t>年</w:t>
      </w:r>
      <w:r>
        <w:rPr>
          <w:color w:val="000000"/>
          <w:sz w:val="24"/>
        </w:rPr>
        <w:t>，</w:t>
      </w:r>
      <w:r>
        <w:rPr>
          <w:b/>
          <w:bCs/>
          <w:color w:val="000000"/>
          <w:sz w:val="24"/>
        </w:rPr>
        <w:t>自项目验收合格之日起计算。</w:t>
      </w:r>
    </w:p>
    <w:p>
      <w:pPr>
        <w:widowControl/>
        <w:spacing w:line="360" w:lineRule="auto"/>
        <w:ind w:firstLine="482" w:firstLineChars="200"/>
        <w:jc w:val="left"/>
        <w:rPr>
          <w:b/>
          <w:bCs/>
          <w:color w:val="000000"/>
          <w:sz w:val="24"/>
        </w:rPr>
      </w:pPr>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FF0000"/>
          <w:kern w:val="0"/>
          <w:sz w:val="24"/>
        </w:rPr>
        <w:t>通用过程气体在线分析仪</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8"/>
          <w:szCs w:val="28"/>
        </w:rPr>
      </w:pPr>
      <w:r>
        <w:rPr>
          <w:rFonts w:hint="eastAsia" w:ascii="宋体" w:hAnsi="宋体"/>
          <w:b/>
          <w:color w:val="000000"/>
          <w:sz w:val="28"/>
          <w:szCs w:val="28"/>
        </w:rPr>
        <w:t>显微分析设备采购合同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360" w:lineRule="auto"/>
        <w:ind w:firstLine="49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1.依据《中华人民共和国民法典》的规定，现就甲方向乙方购买</w:t>
      </w:r>
      <w:r>
        <w:rPr>
          <w:rFonts w:hint="eastAsia" w:asciiTheme="minorEastAsia" w:hAnsiTheme="minorEastAsia" w:eastAsiaTheme="minorEastAsia" w:cstheme="minorEastAsia"/>
          <w:b/>
          <w:color w:val="000000"/>
          <w:sz w:val="24"/>
        </w:rPr>
        <w:t>显微分析设备</w:t>
      </w:r>
      <w:r>
        <w:rPr>
          <w:rFonts w:hint="eastAsia" w:asciiTheme="minorEastAsia" w:hAnsiTheme="minorEastAsia" w:eastAsiaTheme="minorEastAsia" w:cstheme="minorEastAsia"/>
          <w:color w:val="000000" w:themeColor="text1"/>
          <w:sz w:val="24"/>
          <w14:textFill>
            <w14:solidFill>
              <w14:schemeClr w14:val="tx1"/>
            </w14:solidFill>
          </w14:textFill>
        </w:rPr>
        <w:t>一批，经双方协商一致本着平等自愿的原则签订本合同。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生产</w:t>
            </w:r>
          </w:p>
          <w:p>
            <w:pPr>
              <w:pStyle w:val="8"/>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8"/>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8"/>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8"/>
              <w:snapToGrid w:val="0"/>
              <w:spacing w:line="360" w:lineRule="auto"/>
              <w:jc w:val="both"/>
              <w:rPr>
                <w:rFonts w:hAnsi="宋体"/>
                <w:color w:val="000000"/>
                <w:sz w:val="24"/>
                <w:szCs w:val="24"/>
              </w:rPr>
            </w:pPr>
            <w:r>
              <w:rPr>
                <w:rFonts w:hint="eastAsia" w:hAnsi="宋体"/>
                <w:color w:val="000000"/>
                <w:sz w:val="24"/>
                <w:szCs w:val="24"/>
              </w:rPr>
              <w:t>￥：</w:t>
            </w:r>
          </w:p>
        </w:tc>
      </w:tr>
    </w:tbl>
    <w:p>
      <w:pPr>
        <w:pStyle w:val="8"/>
        <w:snapToGrid w:val="0"/>
        <w:spacing w:line="360" w:lineRule="auto"/>
        <w:ind w:left="-178" w:leftChars="-85" w:firstLine="480" w:firstLineChars="20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w:t>
      </w:r>
      <w:r>
        <w:rPr>
          <w:rFonts w:hint="eastAsia" w:ascii="宋体" w:hAnsi="宋体"/>
          <w:sz w:val="24"/>
        </w:rPr>
        <w:t>含搬运</w:t>
      </w:r>
      <w:r>
        <w:rPr>
          <w:rFonts w:hint="eastAsia" w:ascii="宋体" w:hAnsi="宋体"/>
          <w:color w:val="000000"/>
          <w:sz w:val="24"/>
        </w:rPr>
        <w:t>）及安装调试费等。</w:t>
      </w:r>
    </w:p>
    <w:p>
      <w:pPr>
        <w:pStyle w:val="13"/>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int="eastAsia" w:hAnsi="宋体"/>
          <w:b/>
          <w:bCs/>
          <w:color w:val="000000"/>
          <w:sz w:val="24"/>
          <w:szCs w:val="24"/>
        </w:rPr>
        <w:t>2021年06月</w:t>
      </w:r>
      <w:r>
        <w:rPr>
          <w:rFonts w:hint="eastAsia" w:hAnsi="宋体"/>
          <w:color w:val="000000"/>
          <w:sz w:val="24"/>
          <w:szCs w:val="24"/>
        </w:rPr>
        <w:t>及以后生产的符合国家技术规</w:t>
      </w:r>
      <w:r>
        <w:rPr>
          <w:rFonts w:hint="eastAsia" w:hAnsi="宋体"/>
          <w:sz w:val="24"/>
          <w:szCs w:val="24"/>
        </w:rPr>
        <w:t>范</w:t>
      </w:r>
      <w:r>
        <w:rPr>
          <w:rFonts w:hint="eastAsia" w:hAnsi="宋体"/>
          <w:color w:val="000000"/>
          <w:sz w:val="24"/>
          <w:szCs w:val="24"/>
        </w:rPr>
        <w:t>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w:t>
      </w:r>
      <w:r>
        <w:rPr>
          <w:rFonts w:hint="eastAsia" w:hAnsi="宋体"/>
          <w:sz w:val="24"/>
          <w:szCs w:val="24"/>
        </w:rPr>
        <w:t>运</w:t>
      </w:r>
      <w:r>
        <w:rPr>
          <w:rFonts w:hint="eastAsia" w:hAnsi="宋体"/>
          <w:color w:val="000000"/>
          <w:sz w:val="24"/>
          <w:szCs w:val="24"/>
        </w:rPr>
        <w:t>行验收合格之后12个月。如因甲方原因导致不能及时安装的，产品的质保期自到货验收通过之日起 1 个月后开始计算。质保期内乙方提供免费保修、技术支持和售后服务。</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w:t>
      </w:r>
      <w:r>
        <w:rPr>
          <w:rFonts w:hint="eastAsia" w:hAnsi="宋体"/>
          <w:sz w:val="24"/>
          <w:szCs w:val="24"/>
        </w:rPr>
        <w:t>甲方有权退货或要求</w:t>
      </w:r>
      <w:r>
        <w:rPr>
          <w:rFonts w:hint="eastAsia" w:hAnsi="宋体"/>
          <w:color w:val="000000"/>
          <w:sz w:val="24"/>
          <w:szCs w:val="24"/>
        </w:rPr>
        <w:t>乙方负责予以整机调换；若其产品技术指标未能达到合同所规定标准或不稳定现象的，则</w:t>
      </w:r>
      <w:r>
        <w:rPr>
          <w:rFonts w:hint="eastAsia" w:hAnsi="宋体"/>
          <w:sz w:val="24"/>
          <w:szCs w:val="24"/>
        </w:rPr>
        <w:t>由乙</w:t>
      </w:r>
      <w:r>
        <w:rPr>
          <w:rFonts w:hint="eastAsia" w:hAnsi="宋体"/>
          <w:color w:val="000000"/>
          <w:sz w:val="24"/>
          <w:szCs w:val="24"/>
        </w:rPr>
        <w:t>方免费负责予以调试或更换主要零部件。货物安装调试完毕后，甲乙双方共同验收，验收通过后双方签字确认。</w:t>
      </w:r>
    </w:p>
    <w:p>
      <w:pPr>
        <w:pStyle w:val="8"/>
        <w:widowControl w:val="0"/>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8"/>
        <w:widowControl w:val="0"/>
        <w:snapToGrid w:val="0"/>
        <w:spacing w:line="360" w:lineRule="auto"/>
        <w:ind w:firstLine="480" w:firstLineChars="200"/>
        <w:jc w:val="both"/>
        <w:rPr>
          <w:rFonts w:hAnsi="宋体"/>
          <w:color w:val="000000"/>
          <w:sz w:val="24"/>
          <w:szCs w:val="24"/>
        </w:rPr>
      </w:pPr>
      <w:r>
        <w:rPr>
          <w:rFonts w:hint="eastAsia" w:hAnsi="宋体"/>
          <w:color w:val="000000"/>
          <w:sz w:val="24"/>
          <w:szCs w:val="24"/>
        </w:rPr>
        <w:t>5.如货物的质量、规格在质保期内被证明存在缺陷，包括潜在的缺陷或使用不合适的材料，甲方有权凭有关证明文件要求乙方在规定的时间内改进。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7"/>
        <w:tabs>
          <w:tab w:val="left" w:pos="297"/>
        </w:tabs>
        <w:spacing w:after="0" w:line="360" w:lineRule="auto"/>
        <w:ind w:left="0" w:leftChars="0" w:firstLine="480" w:firstLineChars="200"/>
        <w:rPr>
          <w:rFonts w:ascii="宋体"/>
        </w:rPr>
      </w:pPr>
      <w:r>
        <w:rPr>
          <w:rFonts w:ascii="宋体" w:hAnsi="宋体"/>
          <w:color w:val="000000"/>
          <w:kern w:val="0"/>
          <w:sz w:val="24"/>
        </w:rPr>
        <w:t>1.</w:t>
      </w:r>
      <w:r>
        <w:rPr>
          <w:rFonts w:hint="eastAsia" w:ascii="宋体" w:hAnsi="宋体"/>
          <w:color w:val="000000"/>
          <w:kern w:val="0"/>
          <w:sz w:val="24"/>
        </w:rPr>
        <w:t>合同签订后</w:t>
      </w:r>
      <w:r>
        <w:rPr>
          <w:rFonts w:ascii="宋体" w:hAnsi="宋体"/>
          <w:b/>
          <w:bCs/>
          <w:color w:val="000000"/>
          <w:kern w:val="0"/>
          <w:sz w:val="24"/>
          <w:highlight w:val="yellow"/>
        </w:rPr>
        <w:t>3</w:t>
      </w:r>
      <w:r>
        <w:rPr>
          <w:rFonts w:hint="eastAsia" w:ascii="宋体" w:hAnsi="宋体"/>
          <w:b/>
          <w:bCs/>
          <w:color w:val="000000"/>
          <w:kern w:val="0"/>
          <w:sz w:val="24"/>
          <w:highlight w:val="yellow"/>
        </w:rPr>
        <w:t>0天</w:t>
      </w:r>
      <w:r>
        <w:rPr>
          <w:rFonts w:hint="eastAsia" w:ascii="宋体" w:hAnsi="宋体"/>
          <w:color w:val="000000"/>
          <w:kern w:val="0"/>
          <w:sz w:val="24"/>
        </w:rPr>
        <w:t>内完成供货、线路、设备安施和调试，交付采购方使用，货物交付</w:t>
      </w:r>
      <w:r>
        <w:rPr>
          <w:rFonts w:hint="eastAsia" w:ascii="宋体" w:hAnsi="宋体"/>
        </w:rPr>
        <w:t>地点为甲方所在地。</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三次付款。第一次在合同生效以及具备实施条件（乙方提供发票和银行或保险公司预付款等额保函）后7个工作日内甲方支付合同总价的40%作为预付款给乙方，第二次全部到货以及具备实施条件后7个工作日内甲方支付合同总价的30%给乙方，第三次在项目完成并运行验收合格后10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w:t>
      </w:r>
      <w:r>
        <w:rPr>
          <w:rFonts w:hint="eastAsia" w:hAnsi="宋体"/>
          <w:color w:val="000000" w:themeColor="text1"/>
          <w:sz w:val="24"/>
          <w:szCs w:val="24"/>
          <w14:textFill>
            <w14:solidFill>
              <w14:schemeClr w14:val="tx1"/>
            </w14:solidFill>
          </w14:textFill>
        </w:rPr>
        <w:t>甲方有权不予支付余款</w:t>
      </w:r>
      <w:r>
        <w:rPr>
          <w:rFonts w:hint="eastAsia" w:hAnsi="宋体"/>
          <w:sz w:val="24"/>
          <w:szCs w:val="24"/>
        </w:rPr>
        <w:t>；</w:t>
      </w:r>
      <w:r>
        <w:rPr>
          <w:rFonts w:hint="eastAsia" w:hAnsi="宋体"/>
          <w:color w:val="000000"/>
          <w:sz w:val="24"/>
          <w:szCs w:val="24"/>
        </w:rPr>
        <w:t>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8"/>
        <w:snapToGrid w:val="0"/>
        <w:spacing w:line="360" w:lineRule="auto"/>
        <w:ind w:firstLine="480" w:firstLineChars="200"/>
        <w:rPr>
          <w:rFonts w:hAnsi="宋体"/>
          <w:b/>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8"/>
        <w:snapToGrid w:val="0"/>
        <w:spacing w:line="360" w:lineRule="auto"/>
        <w:ind w:firstLine="480" w:firstLineChars="200"/>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9"/>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8"/>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8"/>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4"/>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50</w:t>
            </w:r>
            <w:r>
              <w:rPr>
                <w:rFonts w:hint="eastAsia" w:ascii="宋体" w:hAnsi="宋体"/>
                <w:b/>
                <w:bCs/>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评委认为有意义的，每项加1.5分</w:t>
            </w:r>
            <w:r>
              <w:rPr>
                <w:rFonts w:hint="eastAsia" w:ascii="宋体" w:hAnsi="宋体"/>
                <w:color w:val="000000"/>
                <w:szCs w:val="21"/>
              </w:rPr>
              <w:t>。本项最多得</w:t>
            </w:r>
            <w:r>
              <w:rPr>
                <w:rFonts w:ascii="宋体" w:hAnsi="宋体"/>
                <w:color w:val="000000"/>
                <w:szCs w:val="21"/>
              </w:rPr>
              <w:t>3</w:t>
            </w:r>
            <w:r>
              <w:rPr>
                <w:rFonts w:hint="eastAsia" w:ascii="宋体" w:hAnsi="宋体"/>
                <w:color w:val="000000"/>
                <w:szCs w:val="21"/>
              </w:rPr>
              <w:t>0分。（0-</w:t>
            </w:r>
            <w:r>
              <w:rPr>
                <w:rFonts w:ascii="宋体" w:hAnsi="宋体"/>
                <w:color w:val="000000"/>
                <w:szCs w:val="21"/>
              </w:rPr>
              <w:t>3</w:t>
            </w:r>
            <w:r>
              <w:rPr>
                <w:rFonts w:hint="eastAsia" w:ascii="宋体" w:hAnsi="宋体"/>
                <w:color w:val="000000"/>
                <w:szCs w:val="21"/>
              </w:rPr>
              <w:t>0分）</w:t>
            </w:r>
          </w:p>
        </w:tc>
        <w:tc>
          <w:tcPr>
            <w:tcW w:w="863" w:type="dxa"/>
            <w:vAlign w:val="center"/>
          </w:tcPr>
          <w:p>
            <w:pPr>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20"/>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1"/>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b/>
          <w:color w:val="000000"/>
          <w:sz w:val="32"/>
          <w:szCs w:val="32"/>
        </w:rPr>
      </w:pPr>
      <w:r>
        <w:rPr>
          <w:rFonts w:hint="eastAsia" w:ascii="宋体" w:hAnsi="宋体" w:cs="仿宋_GB2312"/>
          <w:color w:val="000000"/>
          <w:sz w:val="24"/>
        </w:rPr>
        <w:t>3.开标会结束。</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eastAsia" w:ascii="宋体" w:hAnsi="宋体" w:eastAsia="宋体"/>
          <w:b/>
          <w:color w:val="000000"/>
          <w:spacing w:val="20"/>
          <w:sz w:val="32"/>
          <w:szCs w:val="32"/>
          <w:lang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r>
        <w:rPr>
          <w:rFonts w:hint="eastAsia" w:ascii="宋体" w:hAnsi="宋体"/>
          <w:b/>
          <w:color w:val="000000"/>
          <w:sz w:val="32"/>
          <w:szCs w:val="32"/>
          <w:lang w:eastAsia="zh-CN"/>
        </w:rPr>
        <w:t>（</w:t>
      </w:r>
      <w:r>
        <w:rPr>
          <w:rFonts w:hint="eastAsia" w:ascii="宋体" w:hAnsi="宋体"/>
          <w:b/>
          <w:color w:val="000000"/>
          <w:sz w:val="32"/>
          <w:szCs w:val="32"/>
          <w:lang w:val="en-US" w:eastAsia="zh-CN"/>
        </w:rPr>
        <w:t>第二次</w:t>
      </w:r>
      <w:r>
        <w:rPr>
          <w:rFonts w:hint="eastAsia" w:ascii="宋体" w:hAnsi="宋体"/>
          <w:b/>
          <w:color w:val="000000"/>
          <w:sz w:val="32"/>
          <w:szCs w:val="32"/>
          <w:lang w:eastAsia="zh-CN"/>
        </w:rPr>
        <w:t>）</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显微分析设备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显微分析设备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2022-50</w:t>
      </w:r>
      <w:r>
        <w:rPr>
          <w:rFonts w:hint="eastAsia" w:ascii="宋体" w:hAnsi="宋体"/>
          <w:b/>
          <w:color w:val="000000"/>
          <w:sz w:val="28"/>
          <w:szCs w:val="28"/>
          <w:u w:val="single"/>
          <w:lang w:eastAsia="zh-CN"/>
        </w:rPr>
        <w:t>（</w:t>
      </w:r>
      <w:r>
        <w:rPr>
          <w:rFonts w:hint="eastAsia" w:ascii="宋体" w:hAnsi="宋体"/>
          <w:b/>
          <w:color w:val="000000"/>
          <w:sz w:val="28"/>
          <w:szCs w:val="28"/>
          <w:u w:val="single"/>
          <w:lang w:val="en-US" w:eastAsia="zh-CN"/>
        </w:rPr>
        <w:t>第二次</w:t>
      </w:r>
      <w:r>
        <w:rPr>
          <w:rFonts w:hint="eastAsia" w:ascii="宋体" w:hAnsi="宋体"/>
          <w:b/>
          <w:color w:val="000000"/>
          <w:sz w:val="28"/>
          <w:szCs w:val="28"/>
          <w:u w:val="single"/>
          <w:lang w:eastAsia="zh-CN"/>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显微分析设备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2022-50</w:t>
      </w:r>
      <w:r>
        <w:rPr>
          <w:rFonts w:hint="eastAsia" w:ascii="宋体" w:hAnsi="宋体"/>
          <w:b/>
          <w:color w:val="000000"/>
          <w:sz w:val="28"/>
          <w:szCs w:val="28"/>
          <w:u w:val="single"/>
          <w:lang w:eastAsia="zh-CN"/>
        </w:rPr>
        <w:t>（</w:t>
      </w:r>
      <w:r>
        <w:rPr>
          <w:rFonts w:hint="eastAsia" w:ascii="宋体" w:hAnsi="宋体"/>
          <w:b/>
          <w:color w:val="000000"/>
          <w:sz w:val="28"/>
          <w:szCs w:val="28"/>
          <w:u w:val="single"/>
          <w:lang w:val="en-US" w:eastAsia="zh-CN"/>
        </w:rPr>
        <w:t>第二次</w:t>
      </w:r>
      <w:r>
        <w:rPr>
          <w:rFonts w:hint="eastAsia" w:ascii="宋体" w:hAnsi="宋体"/>
          <w:b/>
          <w:color w:val="000000"/>
          <w:sz w:val="28"/>
          <w:szCs w:val="28"/>
          <w:u w:val="single"/>
          <w:lang w:eastAsia="zh-CN"/>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eastAsia" w:ascii="宋体" w:hAnsi="宋体" w:eastAsia="宋体"/>
          <w:b/>
          <w:color w:val="000000"/>
          <w:sz w:val="28"/>
          <w:szCs w:val="28"/>
          <w:lang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2022-50</w:t>
      </w:r>
      <w:r>
        <w:rPr>
          <w:rFonts w:hint="eastAsia" w:ascii="宋体" w:hAnsi="宋体"/>
          <w:b/>
          <w:color w:val="000000"/>
          <w:sz w:val="28"/>
          <w:szCs w:val="28"/>
          <w:lang w:eastAsia="zh-CN"/>
        </w:rPr>
        <w:t>（</w:t>
      </w:r>
      <w:r>
        <w:rPr>
          <w:rFonts w:hint="eastAsia" w:ascii="宋体" w:hAnsi="宋体"/>
          <w:b/>
          <w:color w:val="000000"/>
          <w:sz w:val="28"/>
          <w:szCs w:val="28"/>
          <w:lang w:val="en-US" w:eastAsia="zh-CN"/>
        </w:rPr>
        <w:t>第二次</w:t>
      </w:r>
      <w:r>
        <w:rPr>
          <w:rFonts w:hint="eastAsia" w:ascii="宋体" w:hAnsi="宋体"/>
          <w:b/>
          <w:color w:val="000000"/>
          <w:sz w:val="28"/>
          <w:szCs w:val="28"/>
          <w:lang w:eastAsia="zh-CN"/>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项目名称：显微分析设备</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hint="eastAsia" w:ascii="宋体" w:hAnsi="宋体"/>
          <w:color w:val="000000"/>
          <w:sz w:val="28"/>
          <w:szCs w:val="28"/>
          <w:lang w:val="zh-CN"/>
        </w:rPr>
        <w:t>：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hint="eastAsia" w:ascii="宋体" w:hAnsi="宋体" w:eastAsia="宋体"/>
          <w:b/>
          <w:color w:val="000000"/>
          <w:sz w:val="32"/>
          <w:szCs w:val="32"/>
          <w:lang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r>
        <w:rPr>
          <w:rFonts w:hint="eastAsia" w:ascii="宋体" w:hAnsi="宋体"/>
          <w:b/>
          <w:color w:val="000000"/>
          <w:sz w:val="32"/>
          <w:szCs w:val="32"/>
          <w:lang w:eastAsia="zh-CN"/>
        </w:rPr>
        <w:t>（</w:t>
      </w:r>
      <w:r>
        <w:rPr>
          <w:rFonts w:hint="eastAsia" w:ascii="宋体" w:hAnsi="宋体"/>
          <w:b/>
          <w:color w:val="000000"/>
          <w:sz w:val="32"/>
          <w:szCs w:val="32"/>
          <w:lang w:val="en-US" w:eastAsia="zh-CN"/>
        </w:rPr>
        <w:t>第二次</w:t>
      </w:r>
      <w:r>
        <w:rPr>
          <w:rFonts w:hint="eastAsia" w:ascii="宋体" w:hAnsi="宋体"/>
          <w:b/>
          <w:color w:val="000000"/>
          <w:sz w:val="32"/>
          <w:szCs w:val="32"/>
          <w:lang w:eastAsia="zh-CN"/>
        </w:rPr>
        <w:t>）</w:t>
      </w:r>
    </w:p>
    <w:p>
      <w:pPr>
        <w:snapToGrid w:val="0"/>
        <w:spacing w:line="360" w:lineRule="auto"/>
        <w:rPr>
          <w:rFonts w:ascii="宋体" w:hAnsi="宋体"/>
          <w:b/>
          <w:color w:val="000000"/>
          <w:sz w:val="32"/>
          <w:szCs w:val="32"/>
          <w:lang w:val="zh-CN"/>
        </w:rPr>
      </w:pPr>
      <w:r>
        <w:rPr>
          <w:rFonts w:hint="eastAsia" w:ascii="宋体" w:hAnsi="宋体"/>
          <w:color w:val="000000"/>
          <w:spacing w:val="20"/>
          <w:sz w:val="32"/>
          <w:szCs w:val="32"/>
        </w:rPr>
        <w:t>项目名称：</w:t>
      </w:r>
      <w:r>
        <w:rPr>
          <w:rFonts w:hint="eastAsia" w:ascii="宋体" w:hAnsi="宋体"/>
          <w:b/>
          <w:color w:val="000000"/>
          <w:sz w:val="32"/>
          <w:szCs w:val="32"/>
        </w:rPr>
        <w:t>显微分析设备</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w:t>
      </w:r>
      <w:r>
        <w:rPr>
          <w:rFonts w:hint="eastAsia" w:ascii="宋体" w:hAnsi="宋体" w:cs="仿宋_GB2312"/>
          <w:color w:val="000000"/>
          <w:sz w:val="28"/>
          <w:szCs w:val="28"/>
          <w:lang w:val="en-US" w:eastAsia="zh-CN"/>
        </w:rPr>
        <w:t>姓名</w:t>
      </w:r>
      <w:r>
        <w:rPr>
          <w:rFonts w:hint="eastAsia" w:ascii="宋体" w:hAnsi="宋体" w:cs="仿宋_GB2312"/>
          <w:color w:val="000000"/>
          <w:sz w:val="28"/>
          <w:szCs w:val="28"/>
        </w:rPr>
        <w:t>：</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hint="eastAsia" w:ascii="宋体" w:hAnsi="宋体"/>
          <w:color w:val="000000"/>
          <w:spacing w:val="20"/>
          <w:sz w:val="32"/>
          <w:szCs w:val="32"/>
          <w:lang w:eastAsia="zh-CN"/>
        </w:rPr>
      </w:pPr>
      <w:r>
        <w:rPr>
          <w:rFonts w:hint="eastAsia" w:ascii="宋体" w:hAnsi="宋体"/>
          <w:color w:val="000000"/>
          <w:spacing w:val="20"/>
          <w:sz w:val="32"/>
          <w:szCs w:val="32"/>
        </w:rPr>
        <w:t>项目编号：</w:t>
      </w:r>
      <w:r>
        <w:rPr>
          <w:rFonts w:hint="eastAsia" w:ascii="宋体" w:hAnsi="宋体"/>
          <w:b/>
          <w:color w:val="000000"/>
          <w:sz w:val="32"/>
          <w:szCs w:val="32"/>
        </w:rPr>
        <w:t>衢院招2022-50</w:t>
      </w:r>
      <w:r>
        <w:rPr>
          <w:rFonts w:hint="eastAsia" w:ascii="宋体" w:hAnsi="宋体"/>
          <w:color w:val="000000"/>
          <w:spacing w:val="20"/>
          <w:sz w:val="32"/>
          <w:szCs w:val="32"/>
          <w:lang w:eastAsia="zh-CN"/>
        </w:rPr>
        <w:t>（</w:t>
      </w:r>
      <w:r>
        <w:rPr>
          <w:rFonts w:hint="eastAsia" w:ascii="宋体" w:hAnsi="宋体"/>
          <w:color w:val="000000"/>
          <w:spacing w:val="20"/>
          <w:sz w:val="32"/>
          <w:szCs w:val="32"/>
          <w:lang w:val="en-US" w:eastAsia="zh-CN"/>
        </w:rPr>
        <w:t>第二次</w:t>
      </w:r>
      <w:r>
        <w:rPr>
          <w:rFonts w:hint="eastAsia" w:ascii="宋体" w:hAnsi="宋体"/>
          <w:color w:val="000000"/>
          <w:spacing w:val="20"/>
          <w:sz w:val="32"/>
          <w:szCs w:val="32"/>
          <w:lang w:eastAsia="zh-CN"/>
        </w:rPr>
        <w:t>）</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显微分析设备</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w:t>
      </w:r>
      <w:r>
        <w:rPr>
          <w:rFonts w:hint="eastAsia" w:ascii="宋体" w:hAnsi="宋体" w:cs="仿宋_GB2312"/>
          <w:color w:val="000000"/>
          <w:sz w:val="28"/>
          <w:szCs w:val="28"/>
          <w:lang w:val="en-US" w:eastAsia="zh-CN"/>
        </w:rPr>
        <w:t>姓名</w:t>
      </w:r>
      <w:r>
        <w:rPr>
          <w:rFonts w:hint="eastAsia" w:ascii="宋体" w:hAnsi="宋体" w:cs="仿宋_GB2312"/>
          <w:color w:val="000000"/>
          <w:sz w:val="28"/>
          <w:szCs w:val="28"/>
        </w:rPr>
        <w:t>：</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eastAsia" w:ascii="宋体" w:hAnsi="宋体" w:eastAsia="宋体"/>
          <w:b/>
          <w:bCs/>
          <w:color w:val="000000"/>
          <w:sz w:val="32"/>
          <w:szCs w:val="32"/>
          <w:lang w:eastAsia="zh-CN"/>
        </w:rPr>
      </w:pPr>
      <w:r>
        <w:rPr>
          <w:rFonts w:hint="eastAsia" w:ascii="宋体" w:hAnsi="宋体"/>
          <w:b/>
          <w:color w:val="000000"/>
          <w:sz w:val="32"/>
          <w:szCs w:val="32"/>
        </w:rPr>
        <w:t>项目编号：</w:t>
      </w:r>
      <w:r>
        <w:rPr>
          <w:rFonts w:hint="eastAsia" w:ascii="宋体" w:hAnsi="宋体"/>
          <w:b/>
          <w:bCs/>
          <w:color w:val="000000"/>
          <w:sz w:val="32"/>
          <w:szCs w:val="32"/>
        </w:rPr>
        <w:t>衢院招2022-50</w:t>
      </w: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第二次</w:t>
      </w:r>
      <w:r>
        <w:rPr>
          <w:rFonts w:hint="eastAsia" w:ascii="宋体" w:hAnsi="宋体"/>
          <w:b/>
          <w:bCs/>
          <w:color w:val="000000"/>
          <w:sz w:val="32"/>
          <w:szCs w:val="32"/>
          <w:lang w:eastAsia="zh-CN"/>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显微分析设备</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ascii="宋体" w:hAnsi="宋体"/>
          <w:color w:val="000000"/>
          <w:sz w:val="28"/>
          <w:szCs w:val="28"/>
          <w:lang w:val="zh-CN"/>
        </w:rPr>
        <w:t>：</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eastAsia" w:ascii="宋体" w:hAnsi="宋体" w:eastAsia="宋体"/>
          <w:b/>
          <w:bCs/>
          <w:color w:val="000000"/>
          <w:sz w:val="32"/>
          <w:szCs w:val="32"/>
          <w:lang w:eastAsia="zh-CN"/>
        </w:rPr>
      </w:pPr>
      <w:r>
        <w:rPr>
          <w:rFonts w:hint="eastAsia" w:ascii="宋体" w:hAnsi="宋体"/>
          <w:b/>
          <w:color w:val="000000"/>
          <w:sz w:val="32"/>
          <w:szCs w:val="32"/>
        </w:rPr>
        <w:t>项目编号：</w:t>
      </w:r>
      <w:r>
        <w:rPr>
          <w:rFonts w:hint="eastAsia" w:ascii="宋体" w:hAnsi="宋体"/>
          <w:b/>
          <w:bCs/>
          <w:color w:val="000000"/>
          <w:sz w:val="32"/>
          <w:szCs w:val="32"/>
        </w:rPr>
        <w:t>衢院招2022-50</w:t>
      </w: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第二次</w:t>
      </w:r>
      <w:bookmarkStart w:id="7" w:name="_GoBack"/>
      <w:bookmarkEnd w:id="7"/>
      <w:r>
        <w:rPr>
          <w:rFonts w:hint="eastAsia" w:ascii="宋体" w:hAnsi="宋体"/>
          <w:b/>
          <w:bCs/>
          <w:color w:val="000000"/>
          <w:sz w:val="32"/>
          <w:szCs w:val="32"/>
          <w:lang w:eastAsia="zh-CN"/>
        </w:rPr>
        <w:t>）</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显微分析设备</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w:t>
      </w:r>
      <w:r>
        <w:rPr>
          <w:rFonts w:hint="eastAsia" w:ascii="宋体" w:hAnsi="宋体"/>
          <w:color w:val="000000"/>
          <w:sz w:val="28"/>
          <w:szCs w:val="28"/>
          <w:lang w:val="en-US" w:eastAsia="zh-CN"/>
        </w:rPr>
        <w:t>姓名</w:t>
      </w:r>
      <w:r>
        <w:rPr>
          <w:rFonts w:ascii="宋体" w:hAnsi="宋体"/>
          <w:color w:val="000000"/>
          <w:sz w:val="28"/>
          <w:szCs w:val="28"/>
          <w:lang w:val="zh-CN"/>
        </w:rPr>
        <w:t>：</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widowControl/>
        <w:jc w:val="left"/>
        <w:rPr>
          <w:rFonts w:ascii="宋体" w:hAnsi="宋体"/>
          <w:b/>
          <w:color w:val="000000"/>
          <w:sz w:val="28"/>
          <w:szCs w:val="28"/>
        </w:rPr>
      </w:pPr>
      <w:r>
        <w:rPr>
          <w:rFonts w:ascii="宋体" w:hAnsi="宋体"/>
          <w:b/>
          <w:color w:val="000000"/>
          <w:sz w:val="28"/>
          <w:szCs w:val="28"/>
        </w:rPr>
        <w:br w:type="page"/>
      </w: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widowControl/>
        <w:jc w:val="left"/>
        <w:rPr>
          <w:rFonts w:ascii="宋体" w:hAnsi="宋体"/>
          <w:b/>
          <w:spacing w:val="6"/>
          <w:sz w:val="32"/>
          <w:szCs w:val="32"/>
        </w:rPr>
      </w:pPr>
      <w:r>
        <w:rPr>
          <w:rFonts w:ascii="宋体" w:hAnsi="宋体"/>
          <w:b/>
          <w:sz w:val="28"/>
          <w:szCs w:val="28"/>
          <w:lang w:val="en-GB"/>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ascii="宋体" w:hAnsi="宋体" w:eastAsia="宋体"/>
        <w:lang w:eastAsia="zh-CN"/>
      </w:rPr>
    </w:pPr>
    <w:r>
      <w:rPr>
        <w:rFonts w:hint="eastAsia"/>
      </w:rPr>
      <w:t xml:space="preserve">                                     </w:t>
    </w:r>
    <w:r>
      <w:rPr>
        <w:rFonts w:hint="eastAsia" w:ascii="宋体" w:hAnsi="宋体"/>
      </w:rPr>
      <w:t>项目编号：衢院招2022-50</w:t>
    </w:r>
    <w:r>
      <w:rPr>
        <w:rFonts w:hint="eastAsia" w:ascii="宋体" w:hAnsi="宋体"/>
        <w:lang w:eastAsia="zh-CN"/>
      </w:rPr>
      <w:t>（</w:t>
    </w:r>
    <w:r>
      <w:rPr>
        <w:rFonts w:hint="eastAsia" w:ascii="宋体" w:hAnsi="宋体"/>
        <w:lang w:val="en-US" w:eastAsia="zh-CN"/>
      </w:rPr>
      <w:t>第二次</w:t>
    </w:r>
    <w:r>
      <w:rPr>
        <w:rFonts w:hint="eastAsia" w:ascii="宋体" w:hAnsi="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OWIzNzZiZWE2M2VkZGNlNThiMDU3ODk2NmJkOTUifQ=="/>
  </w:docVars>
  <w:rsids>
    <w:rsidRoot w:val="1948617A"/>
    <w:rsid w:val="00007C4F"/>
    <w:rsid w:val="000126F4"/>
    <w:rsid w:val="00014821"/>
    <w:rsid w:val="0002174F"/>
    <w:rsid w:val="00035CA3"/>
    <w:rsid w:val="00037B74"/>
    <w:rsid w:val="00041530"/>
    <w:rsid w:val="00083CC9"/>
    <w:rsid w:val="000900D2"/>
    <w:rsid w:val="000B177F"/>
    <w:rsid w:val="000B74A2"/>
    <w:rsid w:val="000C1F5A"/>
    <w:rsid w:val="000C2B21"/>
    <w:rsid w:val="000C4378"/>
    <w:rsid w:val="000C78EC"/>
    <w:rsid w:val="000D736A"/>
    <w:rsid w:val="000E1A76"/>
    <w:rsid w:val="000F5525"/>
    <w:rsid w:val="000F5D7A"/>
    <w:rsid w:val="00115B7F"/>
    <w:rsid w:val="001225D1"/>
    <w:rsid w:val="0012381B"/>
    <w:rsid w:val="001313CF"/>
    <w:rsid w:val="0013616D"/>
    <w:rsid w:val="001568AC"/>
    <w:rsid w:val="0015741E"/>
    <w:rsid w:val="00176528"/>
    <w:rsid w:val="001949F0"/>
    <w:rsid w:val="00197152"/>
    <w:rsid w:val="001B4F79"/>
    <w:rsid w:val="001C4702"/>
    <w:rsid w:val="001F286C"/>
    <w:rsid w:val="00203439"/>
    <w:rsid w:val="00203EBC"/>
    <w:rsid w:val="002648D7"/>
    <w:rsid w:val="002663F6"/>
    <w:rsid w:val="002840B5"/>
    <w:rsid w:val="00286102"/>
    <w:rsid w:val="00290E6C"/>
    <w:rsid w:val="002A44F2"/>
    <w:rsid w:val="002B08C7"/>
    <w:rsid w:val="002B1EE4"/>
    <w:rsid w:val="002B6BF8"/>
    <w:rsid w:val="002D3A1F"/>
    <w:rsid w:val="002E08F4"/>
    <w:rsid w:val="002E65B0"/>
    <w:rsid w:val="002F760B"/>
    <w:rsid w:val="00300C78"/>
    <w:rsid w:val="0030527C"/>
    <w:rsid w:val="003166F9"/>
    <w:rsid w:val="003209C8"/>
    <w:rsid w:val="003307DC"/>
    <w:rsid w:val="0033135C"/>
    <w:rsid w:val="00337717"/>
    <w:rsid w:val="003848B1"/>
    <w:rsid w:val="003A22EC"/>
    <w:rsid w:val="003A30D7"/>
    <w:rsid w:val="003A3842"/>
    <w:rsid w:val="003A46EC"/>
    <w:rsid w:val="003B0B01"/>
    <w:rsid w:val="003E1CEC"/>
    <w:rsid w:val="00406087"/>
    <w:rsid w:val="004227F2"/>
    <w:rsid w:val="004237D1"/>
    <w:rsid w:val="00423D18"/>
    <w:rsid w:val="004261A8"/>
    <w:rsid w:val="00430925"/>
    <w:rsid w:val="00452869"/>
    <w:rsid w:val="00454D62"/>
    <w:rsid w:val="00456F65"/>
    <w:rsid w:val="00460C12"/>
    <w:rsid w:val="004744D4"/>
    <w:rsid w:val="00483A7D"/>
    <w:rsid w:val="004875F8"/>
    <w:rsid w:val="0049293B"/>
    <w:rsid w:val="004958B0"/>
    <w:rsid w:val="004A4EA8"/>
    <w:rsid w:val="004B1913"/>
    <w:rsid w:val="004B244A"/>
    <w:rsid w:val="004C6F43"/>
    <w:rsid w:val="004E5D35"/>
    <w:rsid w:val="004F5D34"/>
    <w:rsid w:val="00501B5C"/>
    <w:rsid w:val="0051018A"/>
    <w:rsid w:val="00526B7E"/>
    <w:rsid w:val="00535DC4"/>
    <w:rsid w:val="005376AE"/>
    <w:rsid w:val="005412A5"/>
    <w:rsid w:val="0054570B"/>
    <w:rsid w:val="00546B89"/>
    <w:rsid w:val="00554039"/>
    <w:rsid w:val="0055550D"/>
    <w:rsid w:val="005634B6"/>
    <w:rsid w:val="0056742B"/>
    <w:rsid w:val="00572547"/>
    <w:rsid w:val="00581377"/>
    <w:rsid w:val="005A34BC"/>
    <w:rsid w:val="005B4BCB"/>
    <w:rsid w:val="005C69CC"/>
    <w:rsid w:val="005E446A"/>
    <w:rsid w:val="005E56D5"/>
    <w:rsid w:val="005E64CE"/>
    <w:rsid w:val="005F3771"/>
    <w:rsid w:val="00604E00"/>
    <w:rsid w:val="00637C50"/>
    <w:rsid w:val="00643629"/>
    <w:rsid w:val="0064664B"/>
    <w:rsid w:val="00663C93"/>
    <w:rsid w:val="00683203"/>
    <w:rsid w:val="00695EC5"/>
    <w:rsid w:val="006B192D"/>
    <w:rsid w:val="006B5AB2"/>
    <w:rsid w:val="006C1668"/>
    <w:rsid w:val="006C4D2C"/>
    <w:rsid w:val="006E6F69"/>
    <w:rsid w:val="006F0AD1"/>
    <w:rsid w:val="006F3A4C"/>
    <w:rsid w:val="006F46A5"/>
    <w:rsid w:val="007043B0"/>
    <w:rsid w:val="007053A9"/>
    <w:rsid w:val="007074BF"/>
    <w:rsid w:val="00721D31"/>
    <w:rsid w:val="007278C6"/>
    <w:rsid w:val="00731B05"/>
    <w:rsid w:val="00733240"/>
    <w:rsid w:val="00762DC9"/>
    <w:rsid w:val="0077440A"/>
    <w:rsid w:val="007749DF"/>
    <w:rsid w:val="00781F71"/>
    <w:rsid w:val="007875B9"/>
    <w:rsid w:val="00795827"/>
    <w:rsid w:val="0079604C"/>
    <w:rsid w:val="007B1D25"/>
    <w:rsid w:val="007B2474"/>
    <w:rsid w:val="007C2728"/>
    <w:rsid w:val="007C42EC"/>
    <w:rsid w:val="007F541B"/>
    <w:rsid w:val="007F59DC"/>
    <w:rsid w:val="007F7CC1"/>
    <w:rsid w:val="00803942"/>
    <w:rsid w:val="00814AC8"/>
    <w:rsid w:val="0081504C"/>
    <w:rsid w:val="0085299B"/>
    <w:rsid w:val="0085407E"/>
    <w:rsid w:val="00855EBD"/>
    <w:rsid w:val="0086523C"/>
    <w:rsid w:val="00877804"/>
    <w:rsid w:val="00881593"/>
    <w:rsid w:val="008979A9"/>
    <w:rsid w:val="008B7E0B"/>
    <w:rsid w:val="008C622E"/>
    <w:rsid w:val="008D09DF"/>
    <w:rsid w:val="008D2AA8"/>
    <w:rsid w:val="008D31CC"/>
    <w:rsid w:val="008D3F16"/>
    <w:rsid w:val="008E07AD"/>
    <w:rsid w:val="008E19E0"/>
    <w:rsid w:val="008F288C"/>
    <w:rsid w:val="008F327C"/>
    <w:rsid w:val="00903227"/>
    <w:rsid w:val="00906C42"/>
    <w:rsid w:val="00917896"/>
    <w:rsid w:val="00922B9D"/>
    <w:rsid w:val="00927482"/>
    <w:rsid w:val="009420C1"/>
    <w:rsid w:val="00947630"/>
    <w:rsid w:val="009604CA"/>
    <w:rsid w:val="00960773"/>
    <w:rsid w:val="0096684C"/>
    <w:rsid w:val="0097022D"/>
    <w:rsid w:val="00975CD4"/>
    <w:rsid w:val="00976256"/>
    <w:rsid w:val="00982308"/>
    <w:rsid w:val="00992DA8"/>
    <w:rsid w:val="009C1B05"/>
    <w:rsid w:val="009C296B"/>
    <w:rsid w:val="009C4A69"/>
    <w:rsid w:val="009D0BEE"/>
    <w:rsid w:val="009F0599"/>
    <w:rsid w:val="00A02077"/>
    <w:rsid w:val="00A020A8"/>
    <w:rsid w:val="00A05F30"/>
    <w:rsid w:val="00A063D2"/>
    <w:rsid w:val="00A26C58"/>
    <w:rsid w:val="00A3354E"/>
    <w:rsid w:val="00A4026C"/>
    <w:rsid w:val="00A4054B"/>
    <w:rsid w:val="00A630A2"/>
    <w:rsid w:val="00A70606"/>
    <w:rsid w:val="00A72DB0"/>
    <w:rsid w:val="00A87676"/>
    <w:rsid w:val="00A87A85"/>
    <w:rsid w:val="00A935FF"/>
    <w:rsid w:val="00A9640F"/>
    <w:rsid w:val="00AA13E3"/>
    <w:rsid w:val="00AA6E9B"/>
    <w:rsid w:val="00AC2B58"/>
    <w:rsid w:val="00AD3DB8"/>
    <w:rsid w:val="00AE65A2"/>
    <w:rsid w:val="00AF331A"/>
    <w:rsid w:val="00B06FB2"/>
    <w:rsid w:val="00B10124"/>
    <w:rsid w:val="00B25AA7"/>
    <w:rsid w:val="00B32488"/>
    <w:rsid w:val="00B43F4F"/>
    <w:rsid w:val="00B45219"/>
    <w:rsid w:val="00B5199B"/>
    <w:rsid w:val="00B54D47"/>
    <w:rsid w:val="00B628ED"/>
    <w:rsid w:val="00B657C4"/>
    <w:rsid w:val="00B66194"/>
    <w:rsid w:val="00B75975"/>
    <w:rsid w:val="00B76EBC"/>
    <w:rsid w:val="00B83492"/>
    <w:rsid w:val="00B84532"/>
    <w:rsid w:val="00B85322"/>
    <w:rsid w:val="00B854F8"/>
    <w:rsid w:val="00B934B0"/>
    <w:rsid w:val="00BB0C9D"/>
    <w:rsid w:val="00BB0D88"/>
    <w:rsid w:val="00BC14F7"/>
    <w:rsid w:val="00BC3C13"/>
    <w:rsid w:val="00BD3B78"/>
    <w:rsid w:val="00BD51E1"/>
    <w:rsid w:val="00BD5F4F"/>
    <w:rsid w:val="00BE6727"/>
    <w:rsid w:val="00BF1981"/>
    <w:rsid w:val="00C01F3F"/>
    <w:rsid w:val="00C06EDA"/>
    <w:rsid w:val="00C177A0"/>
    <w:rsid w:val="00C4091A"/>
    <w:rsid w:val="00C53D60"/>
    <w:rsid w:val="00C545BB"/>
    <w:rsid w:val="00C5471B"/>
    <w:rsid w:val="00C70972"/>
    <w:rsid w:val="00C93C99"/>
    <w:rsid w:val="00CA3EF9"/>
    <w:rsid w:val="00CE3B7F"/>
    <w:rsid w:val="00CE414A"/>
    <w:rsid w:val="00CF4AFC"/>
    <w:rsid w:val="00D01E6F"/>
    <w:rsid w:val="00D118B7"/>
    <w:rsid w:val="00D21D53"/>
    <w:rsid w:val="00D4247D"/>
    <w:rsid w:val="00D477AF"/>
    <w:rsid w:val="00D53E12"/>
    <w:rsid w:val="00D61DB9"/>
    <w:rsid w:val="00D643DC"/>
    <w:rsid w:val="00D72822"/>
    <w:rsid w:val="00D766D8"/>
    <w:rsid w:val="00D819D9"/>
    <w:rsid w:val="00D87493"/>
    <w:rsid w:val="00D96224"/>
    <w:rsid w:val="00DA2667"/>
    <w:rsid w:val="00DA3EEC"/>
    <w:rsid w:val="00DA77EB"/>
    <w:rsid w:val="00DB3623"/>
    <w:rsid w:val="00DB482C"/>
    <w:rsid w:val="00DC0C6D"/>
    <w:rsid w:val="00DD266B"/>
    <w:rsid w:val="00DD3F06"/>
    <w:rsid w:val="00DE0061"/>
    <w:rsid w:val="00DE4260"/>
    <w:rsid w:val="00DF305D"/>
    <w:rsid w:val="00E0688D"/>
    <w:rsid w:val="00E06D16"/>
    <w:rsid w:val="00E21EA2"/>
    <w:rsid w:val="00E3602B"/>
    <w:rsid w:val="00E367B2"/>
    <w:rsid w:val="00E51939"/>
    <w:rsid w:val="00E70BA0"/>
    <w:rsid w:val="00E73564"/>
    <w:rsid w:val="00E83298"/>
    <w:rsid w:val="00E87D62"/>
    <w:rsid w:val="00EA25F5"/>
    <w:rsid w:val="00EA653E"/>
    <w:rsid w:val="00EB4AA7"/>
    <w:rsid w:val="00EB62FB"/>
    <w:rsid w:val="00EC43A2"/>
    <w:rsid w:val="00ED2223"/>
    <w:rsid w:val="00ED3278"/>
    <w:rsid w:val="00F13454"/>
    <w:rsid w:val="00F22BD2"/>
    <w:rsid w:val="00F23297"/>
    <w:rsid w:val="00F243F9"/>
    <w:rsid w:val="00F30058"/>
    <w:rsid w:val="00F3140C"/>
    <w:rsid w:val="00F36AA1"/>
    <w:rsid w:val="00F37339"/>
    <w:rsid w:val="00F6219E"/>
    <w:rsid w:val="00F67EBF"/>
    <w:rsid w:val="00F713A2"/>
    <w:rsid w:val="00F7197D"/>
    <w:rsid w:val="00F7531D"/>
    <w:rsid w:val="00F77555"/>
    <w:rsid w:val="00F77917"/>
    <w:rsid w:val="00F86E31"/>
    <w:rsid w:val="00F93D12"/>
    <w:rsid w:val="00FA056D"/>
    <w:rsid w:val="00FB0B37"/>
    <w:rsid w:val="00FC2E1B"/>
    <w:rsid w:val="00FD75CC"/>
    <w:rsid w:val="00FE50E9"/>
    <w:rsid w:val="00FF1908"/>
    <w:rsid w:val="03030CB7"/>
    <w:rsid w:val="03222BBA"/>
    <w:rsid w:val="061867F2"/>
    <w:rsid w:val="07967DD0"/>
    <w:rsid w:val="08803DC4"/>
    <w:rsid w:val="08DF08DA"/>
    <w:rsid w:val="097F3BD5"/>
    <w:rsid w:val="09C30D44"/>
    <w:rsid w:val="09F06821"/>
    <w:rsid w:val="0CDE1F10"/>
    <w:rsid w:val="0F0E34EF"/>
    <w:rsid w:val="111D1927"/>
    <w:rsid w:val="113C7F09"/>
    <w:rsid w:val="13AF25FE"/>
    <w:rsid w:val="15037DBC"/>
    <w:rsid w:val="155C4906"/>
    <w:rsid w:val="16043E6E"/>
    <w:rsid w:val="1948617A"/>
    <w:rsid w:val="196C7B57"/>
    <w:rsid w:val="1AB97476"/>
    <w:rsid w:val="1C742894"/>
    <w:rsid w:val="22371A1A"/>
    <w:rsid w:val="255C3C0A"/>
    <w:rsid w:val="25E9067D"/>
    <w:rsid w:val="269779FB"/>
    <w:rsid w:val="27246DED"/>
    <w:rsid w:val="2B4A2E5A"/>
    <w:rsid w:val="2C693888"/>
    <w:rsid w:val="2E35173C"/>
    <w:rsid w:val="33021328"/>
    <w:rsid w:val="35294404"/>
    <w:rsid w:val="384D6503"/>
    <w:rsid w:val="3A7D5D80"/>
    <w:rsid w:val="3BEE1090"/>
    <w:rsid w:val="3C9B4034"/>
    <w:rsid w:val="3D5B71E9"/>
    <w:rsid w:val="40BD5707"/>
    <w:rsid w:val="44C24139"/>
    <w:rsid w:val="45264E4C"/>
    <w:rsid w:val="461F4482"/>
    <w:rsid w:val="465470B8"/>
    <w:rsid w:val="469D79FB"/>
    <w:rsid w:val="46A2525A"/>
    <w:rsid w:val="46D07699"/>
    <w:rsid w:val="48A8110F"/>
    <w:rsid w:val="491A5544"/>
    <w:rsid w:val="4C5B6C93"/>
    <w:rsid w:val="4F940E9D"/>
    <w:rsid w:val="532343FD"/>
    <w:rsid w:val="53E70DD3"/>
    <w:rsid w:val="54F0417C"/>
    <w:rsid w:val="558C75D6"/>
    <w:rsid w:val="581F4439"/>
    <w:rsid w:val="58985D00"/>
    <w:rsid w:val="58C5228C"/>
    <w:rsid w:val="597E5CFB"/>
    <w:rsid w:val="602965CB"/>
    <w:rsid w:val="626517D6"/>
    <w:rsid w:val="632D5CF8"/>
    <w:rsid w:val="646074A9"/>
    <w:rsid w:val="655C0EFC"/>
    <w:rsid w:val="6A7E4843"/>
    <w:rsid w:val="6C894F72"/>
    <w:rsid w:val="6EC0300F"/>
    <w:rsid w:val="6FC6655C"/>
    <w:rsid w:val="7087212F"/>
    <w:rsid w:val="719557D5"/>
    <w:rsid w:val="73E7128A"/>
    <w:rsid w:val="75003511"/>
    <w:rsid w:val="75192274"/>
    <w:rsid w:val="751F357D"/>
    <w:rsid w:val="756757B2"/>
    <w:rsid w:val="75C209A7"/>
    <w:rsid w:val="78A53F52"/>
    <w:rsid w:val="799306D5"/>
    <w:rsid w:val="7B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字符"/>
    <w:link w:val="4"/>
    <w:qFormat/>
    <w:uiPriority w:val="0"/>
    <w:rPr>
      <w:kern w:val="2"/>
      <w:sz w:val="21"/>
    </w:rPr>
  </w:style>
  <w:style w:type="character" w:customStyle="1" w:styleId="25">
    <w:name w:val="批注框文本 字符"/>
    <w:basedOn w:val="15"/>
    <w:link w:val="10"/>
    <w:qFormat/>
    <w:uiPriority w:val="0"/>
    <w:rPr>
      <w:kern w:val="2"/>
      <w:sz w:val="18"/>
      <w:szCs w:val="18"/>
    </w:rPr>
  </w:style>
  <w:style w:type="character" w:customStyle="1" w:styleId="26">
    <w:name w:val="批注文字 字符"/>
    <w:basedOn w:val="15"/>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38</Pages>
  <Words>3249</Words>
  <Characters>18520</Characters>
  <Lines>154</Lines>
  <Paragraphs>43</Paragraphs>
  <TotalTime>9</TotalTime>
  <ScaleCrop>false</ScaleCrop>
  <LinksUpToDate>false</LinksUpToDate>
  <CharactersWithSpaces>21726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2022-10-18T01:50:00Z</dcterms:created>
  <dc:creator>周建红</dc:creator>
  <cp:lastModifiedBy>Administrator</cp:lastModifiedBy>
  <cp:lastPrinted>2022-07-08T07:01:00Z</cp:lastPrinted>
  <dcterms:modified xsi:type="dcterms:W3CDTF">2022-11-17T02:51:38Z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747DB59A536D4DEDAACC9F1DECB0773A</vt:lpwstr>
  </property>
</Properties>
</file>