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pacing w:val="15"/>
          <w:sz w:val="32"/>
          <w:szCs w:val="32"/>
        </w:rPr>
      </w:pPr>
    </w:p>
    <w:p>
      <w:pPr>
        <w:spacing w:line="560" w:lineRule="exact"/>
        <w:jc w:val="center"/>
        <w:rPr>
          <w:rFonts w:ascii="方正小标宋简体" w:hAnsi="方正小标宋简体" w:eastAsia="方正小标宋简体" w:cs="方正小标宋简体"/>
          <w:spacing w:val="15"/>
          <w:sz w:val="44"/>
          <w:szCs w:val="44"/>
        </w:rPr>
      </w:pPr>
    </w:p>
    <w:p>
      <w:pPr>
        <w:spacing w:line="560" w:lineRule="exact"/>
        <w:jc w:val="center"/>
        <w:rPr>
          <w:rFonts w:ascii="方正小标宋简体" w:hAnsi="方正小标宋简体" w:eastAsia="方正小标宋简体" w:cs="方正小标宋简体"/>
          <w:bCs/>
          <w:spacing w:val="15"/>
          <w:sz w:val="44"/>
          <w:szCs w:val="44"/>
        </w:rPr>
      </w:pPr>
    </w:p>
    <w:p>
      <w:pPr>
        <w:spacing w:line="560" w:lineRule="exact"/>
        <w:jc w:val="center"/>
        <w:rPr>
          <w:rFonts w:ascii="方正小标宋简体" w:hAnsi="方正小标宋简体" w:eastAsia="方正小标宋简体" w:cs="方正小标宋简体"/>
          <w:bCs/>
          <w:spacing w:val="15"/>
          <w:sz w:val="44"/>
          <w:szCs w:val="44"/>
        </w:rPr>
      </w:pPr>
    </w:p>
    <w:p>
      <w:pPr>
        <w:spacing w:line="560" w:lineRule="exact"/>
        <w:jc w:val="center"/>
        <w:rPr>
          <w:rFonts w:ascii="方正小标宋简体" w:hAnsi="方正小标宋简体" w:eastAsia="方正小标宋简体" w:cs="方正小标宋简体"/>
          <w:bCs/>
          <w:spacing w:val="15"/>
          <w:sz w:val="44"/>
          <w:szCs w:val="44"/>
        </w:rPr>
      </w:pPr>
    </w:p>
    <w:p>
      <w:pPr>
        <w:spacing w:line="560" w:lineRule="exact"/>
        <w:jc w:val="center"/>
        <w:rPr>
          <w:rFonts w:ascii="方正小标宋简体" w:hAnsi="方正小标宋简体" w:eastAsia="方正小标宋简体" w:cs="方正小标宋简体"/>
          <w:bCs/>
          <w:spacing w:val="15"/>
          <w:sz w:val="44"/>
          <w:szCs w:val="44"/>
        </w:rPr>
      </w:pPr>
    </w:p>
    <w:p>
      <w:pPr>
        <w:spacing w:line="560" w:lineRule="exact"/>
        <w:jc w:val="center"/>
        <w:rPr>
          <w:rFonts w:ascii="方正小标宋简体" w:hAnsi="方正小标宋简体" w:eastAsia="方正小标宋简体" w:cs="方正小标宋简体"/>
          <w:bCs/>
          <w:spacing w:val="15"/>
          <w:sz w:val="44"/>
          <w:szCs w:val="44"/>
        </w:rPr>
      </w:pPr>
    </w:p>
    <w:p>
      <w:pPr>
        <w:spacing w:line="560" w:lineRule="exact"/>
        <w:jc w:val="center"/>
        <w:rPr>
          <w:rFonts w:ascii="方正小标宋简体" w:hAnsi="方正小标宋简体" w:eastAsia="方正小标宋简体" w:cs="方正小标宋简体"/>
          <w:bCs/>
          <w:spacing w:val="15"/>
          <w:sz w:val="44"/>
          <w:szCs w:val="44"/>
        </w:rPr>
      </w:pPr>
    </w:p>
    <w:p>
      <w:pPr>
        <w:spacing w:line="560" w:lineRule="exact"/>
        <w:jc w:val="center"/>
        <w:rPr>
          <w:rFonts w:ascii="方正小标宋简体" w:hAnsi="方正小标宋简体" w:eastAsia="方正小标宋简体" w:cs="方正小标宋简体"/>
          <w:bCs/>
          <w:spacing w:val="15"/>
          <w:sz w:val="44"/>
          <w:szCs w:val="44"/>
        </w:rPr>
      </w:pPr>
    </w:p>
    <w:p>
      <w:pPr>
        <w:spacing w:line="560" w:lineRule="exact"/>
        <w:jc w:val="center"/>
        <w:rPr>
          <w:rFonts w:ascii="方正小标宋简体" w:hAnsi="方正小标宋简体" w:eastAsia="方正小标宋简体" w:cs="方正小标宋简体"/>
          <w:bCs/>
          <w:spacing w:val="15"/>
          <w:sz w:val="44"/>
          <w:szCs w:val="44"/>
        </w:rPr>
      </w:pPr>
      <w:r>
        <w:rPr>
          <w:rFonts w:ascii="方正小标宋简体" w:hAnsi="方正小标宋简体" w:eastAsia="方正小标宋简体" w:cs="方正小标宋简体"/>
          <w:bCs/>
          <w:spacing w:val="15"/>
          <w:sz w:val="44"/>
          <w:szCs w:val="44"/>
        </w:rPr>
        <w:t>衢州学院</w:t>
      </w:r>
      <w:r>
        <w:rPr>
          <w:rFonts w:hint="eastAsia" w:ascii="方正小标宋简体" w:hAnsi="方正小标宋简体" w:eastAsia="方正小标宋简体" w:cs="方正小标宋简体"/>
          <w:bCs/>
          <w:spacing w:val="15"/>
          <w:sz w:val="44"/>
          <w:szCs w:val="44"/>
          <w:lang w:eastAsia="zh-CN"/>
        </w:rPr>
        <w:t>2026年</w:t>
      </w:r>
      <w:r>
        <w:rPr>
          <w:rFonts w:hint="eastAsia" w:ascii="方正小标宋简体" w:hAnsi="方正小标宋简体" w:eastAsia="方正小标宋简体" w:cs="方正小标宋简体"/>
          <w:bCs/>
          <w:spacing w:val="15"/>
          <w:sz w:val="44"/>
          <w:szCs w:val="44"/>
        </w:rPr>
        <w:t>部门预算</w:t>
      </w:r>
    </w:p>
    <w:p>
      <w:pPr>
        <w:spacing w:line="560" w:lineRule="exact"/>
        <w:ind w:firstLine="590" w:firstLineChars="196"/>
        <w:rPr>
          <w:rStyle w:val="9"/>
          <w:color w:val="000000"/>
          <w:sz w:val="30"/>
          <w:szCs w:val="30"/>
        </w:rPr>
      </w:pPr>
    </w:p>
    <w:p>
      <w:pPr>
        <w:spacing w:line="520" w:lineRule="exact"/>
        <w:ind w:firstLine="627" w:firstLineChars="196"/>
        <w:jc w:val="center"/>
        <w:rPr>
          <w:rStyle w:val="9"/>
          <w:rFonts w:ascii="黑体" w:eastAsia="黑体"/>
          <w:b w:val="0"/>
          <w:color w:val="000000"/>
          <w:sz w:val="32"/>
          <w:szCs w:val="32"/>
        </w:rPr>
      </w:pPr>
    </w:p>
    <w:p>
      <w:pPr>
        <w:spacing w:line="520" w:lineRule="exact"/>
        <w:ind w:firstLine="627" w:firstLineChars="196"/>
        <w:jc w:val="center"/>
        <w:rPr>
          <w:rStyle w:val="9"/>
          <w:rFonts w:ascii="黑体" w:eastAsia="黑体"/>
          <w:b w:val="0"/>
          <w:color w:val="000000"/>
          <w:sz w:val="32"/>
          <w:szCs w:val="32"/>
        </w:rPr>
      </w:pPr>
    </w:p>
    <w:p>
      <w:pPr>
        <w:spacing w:line="520" w:lineRule="exact"/>
        <w:ind w:firstLine="627" w:firstLineChars="196"/>
        <w:jc w:val="center"/>
        <w:rPr>
          <w:rStyle w:val="9"/>
          <w:rFonts w:ascii="黑体" w:eastAsia="黑体"/>
          <w:b w:val="0"/>
          <w:color w:val="000000"/>
          <w:sz w:val="32"/>
          <w:szCs w:val="32"/>
        </w:rPr>
      </w:pPr>
    </w:p>
    <w:p>
      <w:pPr>
        <w:spacing w:line="520" w:lineRule="exact"/>
        <w:ind w:firstLine="627" w:firstLineChars="196"/>
        <w:jc w:val="center"/>
        <w:rPr>
          <w:rStyle w:val="9"/>
          <w:rFonts w:ascii="黑体" w:eastAsia="黑体"/>
          <w:b w:val="0"/>
          <w:color w:val="000000"/>
          <w:sz w:val="32"/>
          <w:szCs w:val="32"/>
        </w:rPr>
      </w:pPr>
    </w:p>
    <w:p>
      <w:pPr>
        <w:spacing w:line="520" w:lineRule="exact"/>
        <w:ind w:firstLine="627" w:firstLineChars="196"/>
        <w:jc w:val="center"/>
        <w:rPr>
          <w:rStyle w:val="9"/>
          <w:rFonts w:ascii="黑体" w:eastAsia="黑体"/>
          <w:b w:val="0"/>
          <w:color w:val="000000"/>
          <w:sz w:val="32"/>
          <w:szCs w:val="32"/>
        </w:rPr>
      </w:pPr>
    </w:p>
    <w:p>
      <w:pPr>
        <w:spacing w:line="520" w:lineRule="exact"/>
        <w:ind w:firstLine="627" w:firstLineChars="196"/>
        <w:jc w:val="center"/>
        <w:rPr>
          <w:rStyle w:val="9"/>
          <w:rFonts w:ascii="黑体" w:eastAsia="黑体"/>
          <w:b w:val="0"/>
          <w:color w:val="000000"/>
          <w:sz w:val="32"/>
          <w:szCs w:val="32"/>
        </w:rPr>
      </w:pPr>
    </w:p>
    <w:p>
      <w:pPr>
        <w:spacing w:line="520" w:lineRule="exact"/>
        <w:ind w:firstLine="627" w:firstLineChars="196"/>
        <w:jc w:val="center"/>
        <w:rPr>
          <w:rStyle w:val="9"/>
          <w:rFonts w:ascii="黑体" w:eastAsia="黑体"/>
          <w:b w:val="0"/>
          <w:color w:val="000000"/>
          <w:sz w:val="32"/>
          <w:szCs w:val="32"/>
        </w:rPr>
      </w:pPr>
    </w:p>
    <w:p>
      <w:pPr>
        <w:spacing w:line="520" w:lineRule="exact"/>
        <w:ind w:firstLine="627" w:firstLineChars="196"/>
        <w:jc w:val="center"/>
        <w:rPr>
          <w:rStyle w:val="9"/>
          <w:rFonts w:ascii="黑体" w:eastAsia="黑体"/>
          <w:b w:val="0"/>
          <w:color w:val="000000"/>
          <w:sz w:val="32"/>
          <w:szCs w:val="32"/>
        </w:rPr>
      </w:pPr>
    </w:p>
    <w:p>
      <w:pPr>
        <w:spacing w:line="520" w:lineRule="exact"/>
        <w:ind w:firstLine="627" w:firstLineChars="196"/>
        <w:jc w:val="center"/>
        <w:rPr>
          <w:rStyle w:val="9"/>
          <w:rFonts w:ascii="黑体" w:eastAsia="黑体"/>
          <w:b w:val="0"/>
          <w:color w:val="000000"/>
          <w:sz w:val="32"/>
          <w:szCs w:val="32"/>
        </w:rPr>
      </w:pPr>
    </w:p>
    <w:p>
      <w:pPr>
        <w:spacing w:line="520" w:lineRule="exact"/>
        <w:ind w:firstLine="627" w:firstLineChars="196"/>
        <w:jc w:val="center"/>
        <w:rPr>
          <w:rStyle w:val="9"/>
          <w:rFonts w:ascii="黑体" w:eastAsia="黑体"/>
          <w:b w:val="0"/>
          <w:color w:val="000000"/>
          <w:sz w:val="32"/>
          <w:szCs w:val="32"/>
        </w:rPr>
      </w:pPr>
    </w:p>
    <w:p>
      <w:pPr>
        <w:spacing w:line="520" w:lineRule="exact"/>
        <w:ind w:firstLine="627" w:firstLineChars="196"/>
        <w:jc w:val="center"/>
        <w:rPr>
          <w:rStyle w:val="9"/>
          <w:rFonts w:ascii="黑体" w:eastAsia="黑体"/>
          <w:b w:val="0"/>
          <w:color w:val="000000"/>
          <w:sz w:val="32"/>
          <w:szCs w:val="32"/>
        </w:rPr>
      </w:pPr>
    </w:p>
    <w:p>
      <w:pPr>
        <w:spacing w:line="520" w:lineRule="exact"/>
        <w:ind w:firstLine="627" w:firstLineChars="196"/>
        <w:jc w:val="center"/>
        <w:rPr>
          <w:rStyle w:val="9"/>
          <w:rFonts w:ascii="黑体" w:eastAsia="黑体"/>
          <w:b w:val="0"/>
          <w:color w:val="000000"/>
          <w:sz w:val="32"/>
          <w:szCs w:val="32"/>
        </w:rPr>
      </w:pPr>
    </w:p>
    <w:p>
      <w:pPr>
        <w:spacing w:line="520" w:lineRule="exact"/>
        <w:ind w:firstLine="627" w:firstLineChars="196"/>
        <w:jc w:val="center"/>
        <w:rPr>
          <w:rStyle w:val="9"/>
          <w:rFonts w:ascii="黑体" w:eastAsia="黑体"/>
          <w:b w:val="0"/>
          <w:color w:val="000000"/>
          <w:sz w:val="32"/>
          <w:szCs w:val="32"/>
        </w:rPr>
      </w:pPr>
    </w:p>
    <w:p>
      <w:pPr>
        <w:spacing w:line="520" w:lineRule="exact"/>
        <w:rPr>
          <w:rStyle w:val="9"/>
          <w:rFonts w:ascii="黑体" w:eastAsia="黑体"/>
          <w:b w:val="0"/>
          <w:color w:val="000000"/>
          <w:sz w:val="32"/>
          <w:szCs w:val="32"/>
        </w:rPr>
      </w:pPr>
    </w:p>
    <w:p>
      <w:pPr>
        <w:keepNext w:val="0"/>
        <w:keepLines w:val="0"/>
        <w:pageBreakBefore w:val="0"/>
        <w:kinsoku/>
        <w:wordWrap/>
        <w:overflowPunct/>
        <w:topLinePunct w:val="0"/>
        <w:autoSpaceDE/>
        <w:autoSpaceDN/>
        <w:bidi w:val="0"/>
        <w:adjustRightInd/>
        <w:snapToGrid/>
        <w:spacing w:beforeLines="0" w:afterLines="0" w:line="520" w:lineRule="exact"/>
        <w:ind w:right="0" w:rightChars="0" w:firstLine="627" w:firstLineChars="196"/>
        <w:jc w:val="center"/>
        <w:textAlignment w:val="auto"/>
        <w:outlineLvl w:val="9"/>
        <w:rPr>
          <w:rStyle w:val="9"/>
          <w:rFonts w:hint="eastAsia" w:ascii="黑体" w:eastAsia="黑体"/>
          <w:b w:val="0"/>
          <w:color w:val="000000"/>
          <w:sz w:val="32"/>
          <w:szCs w:val="32"/>
          <w:highlight w:val="none"/>
          <w:lang w:eastAsia="zh-CN"/>
        </w:rPr>
      </w:pPr>
    </w:p>
    <w:p>
      <w:pPr>
        <w:keepNext w:val="0"/>
        <w:keepLines w:val="0"/>
        <w:pageBreakBefore w:val="0"/>
        <w:kinsoku/>
        <w:wordWrap/>
        <w:overflowPunct/>
        <w:topLinePunct w:val="0"/>
        <w:autoSpaceDE/>
        <w:autoSpaceDN/>
        <w:bidi w:val="0"/>
        <w:adjustRightInd/>
        <w:snapToGrid/>
        <w:spacing w:beforeLines="0" w:afterLines="0" w:line="520" w:lineRule="exact"/>
        <w:ind w:right="0" w:rightChars="0" w:firstLine="627" w:firstLineChars="196"/>
        <w:jc w:val="center"/>
        <w:textAlignment w:val="auto"/>
        <w:outlineLvl w:val="9"/>
        <w:rPr>
          <w:rStyle w:val="9"/>
          <w:rFonts w:hint="eastAsia" w:ascii="黑体" w:eastAsia="黑体"/>
          <w:b w:val="0"/>
          <w:color w:val="000000"/>
          <w:sz w:val="32"/>
          <w:szCs w:val="32"/>
          <w:highlight w:val="none"/>
          <w:lang w:eastAsia="zh-CN"/>
        </w:rPr>
      </w:pPr>
    </w:p>
    <w:p>
      <w:pPr>
        <w:spacing w:line="520" w:lineRule="exact"/>
        <w:ind w:firstLine="627" w:firstLineChars="196"/>
        <w:jc w:val="center"/>
        <w:rPr>
          <w:rStyle w:val="9"/>
          <w:rFonts w:ascii="黑体" w:eastAsia="黑体"/>
          <w:b w:val="0"/>
          <w:color w:val="000000"/>
          <w:sz w:val="32"/>
          <w:szCs w:val="32"/>
        </w:rPr>
      </w:pPr>
      <w:r>
        <w:rPr>
          <w:rStyle w:val="9"/>
          <w:rFonts w:hint="eastAsia" w:ascii="黑体" w:eastAsia="黑体"/>
          <w:b w:val="0"/>
          <w:color w:val="000000"/>
          <w:sz w:val="32"/>
          <w:szCs w:val="32"/>
        </w:rPr>
        <w:t>目录</w:t>
      </w:r>
    </w:p>
    <w:p>
      <w:pPr>
        <w:spacing w:line="520" w:lineRule="exact"/>
        <w:rPr>
          <w:rFonts w:eastAsia="黑体"/>
          <w:sz w:val="32"/>
        </w:rPr>
      </w:pPr>
      <w:r>
        <w:rPr>
          <w:rFonts w:hint="eastAsia" w:ascii="黑体" w:eastAsia="黑体"/>
          <w:color w:val="000000"/>
          <w:sz w:val="32"/>
          <w:highlight w:val="white"/>
        </w:rPr>
        <w:t>一、</w:t>
      </w:r>
      <w:r>
        <w:rPr>
          <w:rStyle w:val="9"/>
          <w:rFonts w:hint="eastAsia" w:ascii="黑体" w:eastAsia="黑体"/>
          <w:b w:val="0"/>
          <w:color w:val="000000"/>
          <w:sz w:val="32"/>
          <w:szCs w:val="32"/>
        </w:rPr>
        <w:t>部门概况</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（一）主要职能</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（二）部门机构设置情况</w:t>
      </w:r>
    </w:p>
    <w:p>
      <w:pPr>
        <w:spacing w:line="520" w:lineRule="exact"/>
        <w:rPr>
          <w:rStyle w:val="9"/>
          <w:rFonts w:ascii="黑体" w:eastAsia="黑体"/>
          <w:b w:val="0"/>
          <w:color w:val="000000"/>
          <w:sz w:val="32"/>
          <w:szCs w:val="32"/>
        </w:rPr>
      </w:pPr>
      <w:r>
        <w:rPr>
          <w:rStyle w:val="9"/>
          <w:rFonts w:hint="eastAsia" w:ascii="黑体" w:eastAsia="黑体"/>
          <w:b w:val="0"/>
          <w:color w:val="000000"/>
          <w:sz w:val="32"/>
          <w:szCs w:val="32"/>
        </w:rPr>
        <w:t>二、</w:t>
      </w:r>
      <w:r>
        <w:rPr>
          <w:rStyle w:val="9"/>
          <w:rFonts w:hint="eastAsia" w:ascii="黑体" w:eastAsia="黑体"/>
          <w:b w:val="0"/>
          <w:color w:val="000000"/>
          <w:sz w:val="32"/>
          <w:szCs w:val="32"/>
          <w:lang w:eastAsia="zh-CN"/>
        </w:rPr>
        <w:t>2026年</w:t>
      </w:r>
      <w:r>
        <w:rPr>
          <w:rStyle w:val="9"/>
          <w:rFonts w:hint="eastAsia" w:ascii="黑体" w:eastAsia="黑体"/>
          <w:b w:val="0"/>
          <w:color w:val="000000"/>
          <w:sz w:val="32"/>
          <w:szCs w:val="32"/>
        </w:rPr>
        <w:t>衢州学院部门预算安排情况说明</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（一）关于衢州学院</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收支预算情况的总体说明</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（二）关于衢州学院</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收入预算情况说明</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（三）关于衢州学院</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支出预算情况说明</w:t>
      </w:r>
      <w:r>
        <w:rPr>
          <w:rFonts w:hint="eastAsia" w:ascii="楷体_GB2312" w:hAnsi="楷体_GB2312" w:eastAsia="楷体_GB2312" w:cs="楷体_GB2312"/>
          <w:bCs/>
          <w:sz w:val="32"/>
          <w:szCs w:val="32"/>
        </w:rPr>
        <w:br w:type="textWrapping"/>
      </w:r>
      <w:r>
        <w:rPr>
          <w:rFonts w:hint="eastAsia" w:ascii="楷体_GB2312" w:hAnsi="楷体_GB2312" w:eastAsia="楷体_GB2312" w:cs="楷体_GB2312"/>
          <w:bCs/>
          <w:sz w:val="32"/>
          <w:szCs w:val="32"/>
        </w:rPr>
        <w:t>（四）关于衢州学院</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财政拨款收支预算情况的总体说明</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（五）关于衢州学院</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一般公共预算拨款情况说明</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（六）关于衢州学院</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一般公共预算基本支出情况说明</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（七）关于衢州学院</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政府性基金预算支出情况说明</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（八）关于衢州学院</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国有资本经营预算支出情况说明</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（九）关于衢州学院</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一般公共预算“三公”经费预算情况说明</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（十）其他重要事项的情况说明</w:t>
      </w:r>
    </w:p>
    <w:p>
      <w:pPr>
        <w:pStyle w:val="14"/>
        <w:spacing w:line="520" w:lineRule="exact"/>
        <w:rPr>
          <w:rStyle w:val="9"/>
          <w:rFonts w:ascii="黑体" w:hAnsi="Calibri" w:eastAsia="黑体"/>
          <w:b w:val="0"/>
          <w:color w:val="000000"/>
          <w:kern w:val="2"/>
          <w:sz w:val="32"/>
          <w:szCs w:val="32"/>
        </w:rPr>
      </w:pPr>
      <w:r>
        <w:rPr>
          <w:rStyle w:val="9"/>
          <w:rFonts w:hint="eastAsia" w:ascii="黑体" w:hAnsi="Calibri" w:eastAsia="黑体"/>
          <w:b w:val="0"/>
          <w:color w:val="000000"/>
          <w:kern w:val="2"/>
          <w:sz w:val="32"/>
          <w:szCs w:val="32"/>
        </w:rPr>
        <w:t>三、名词解释</w:t>
      </w:r>
    </w:p>
    <w:p>
      <w:pPr>
        <w:spacing w:line="520" w:lineRule="exact"/>
        <w:rPr>
          <w:rStyle w:val="9"/>
          <w:rFonts w:ascii="黑体" w:eastAsia="黑体"/>
          <w:b w:val="0"/>
          <w:color w:val="000000"/>
          <w:sz w:val="32"/>
          <w:szCs w:val="32"/>
        </w:rPr>
      </w:pPr>
      <w:r>
        <w:rPr>
          <w:rStyle w:val="9"/>
          <w:rFonts w:hint="eastAsia" w:ascii="黑体" w:eastAsia="黑体"/>
          <w:b w:val="0"/>
          <w:color w:val="000000"/>
          <w:sz w:val="32"/>
          <w:szCs w:val="32"/>
        </w:rPr>
        <w:t>四、</w:t>
      </w:r>
      <w:r>
        <w:rPr>
          <w:rStyle w:val="9"/>
          <w:rFonts w:hint="eastAsia" w:ascii="黑体" w:eastAsia="黑体"/>
          <w:b w:val="0"/>
          <w:color w:val="000000"/>
          <w:sz w:val="32"/>
          <w:szCs w:val="32"/>
          <w:lang w:eastAsia="zh-CN"/>
        </w:rPr>
        <w:t>2026年</w:t>
      </w:r>
      <w:r>
        <w:rPr>
          <w:rStyle w:val="9"/>
          <w:rFonts w:hint="eastAsia" w:ascii="黑体" w:eastAsia="黑体"/>
          <w:b w:val="0"/>
          <w:color w:val="000000"/>
          <w:sz w:val="32"/>
          <w:szCs w:val="32"/>
        </w:rPr>
        <w:t>衢州学院部门预算表</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部门收支预算总表</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部门收入预算总表</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部门支出预算总表</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部门财政拨款收支预算总表</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（五）</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部门一般公共预算支出表</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（六）</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部门一般公共预算基本支出表</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（七）</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部门一般公共预算“三公”经费支出表</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（八）</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部门政府性基金预算支出表</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（九）</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部门国有资本经营预算支出表</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部门项目支出预算表</w:t>
      </w:r>
    </w:p>
    <w:p>
      <w:pPr>
        <w:autoSpaceDE w:val="0"/>
        <w:autoSpaceDN w:val="0"/>
        <w:adjustRightInd w:val="0"/>
        <w:ind w:left="420" w:leftChars="200"/>
        <w:jc w:val="left"/>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（十一）</w:t>
      </w:r>
      <w:r>
        <w:rPr>
          <w:rFonts w:hint="eastAsia" w:ascii="楷体_GB2312" w:hAnsi="楷体_GB2312" w:eastAsia="楷体_GB2312" w:cs="楷体_GB2312"/>
          <w:bCs/>
          <w:sz w:val="32"/>
          <w:szCs w:val="32"/>
          <w:lang w:eastAsia="zh-CN"/>
        </w:rPr>
        <w:t>2026年</w:t>
      </w:r>
      <w:r>
        <w:rPr>
          <w:rFonts w:hint="eastAsia" w:ascii="楷体_GB2312" w:hAnsi="楷体_GB2312" w:eastAsia="楷体_GB2312" w:cs="楷体_GB2312"/>
          <w:bCs/>
          <w:sz w:val="32"/>
          <w:szCs w:val="32"/>
        </w:rPr>
        <w:t>部门项目支出绩效表</w:t>
      </w:r>
    </w:p>
    <w:p>
      <w:pPr>
        <w:spacing w:line="520" w:lineRule="exact"/>
        <w:ind w:firstLine="627" w:firstLineChars="196"/>
        <w:rPr>
          <w:rStyle w:val="9"/>
          <w:rFonts w:ascii="黑体" w:eastAsia="黑体"/>
          <w:b w:val="0"/>
          <w:color w:val="000000"/>
          <w:sz w:val="32"/>
          <w:szCs w:val="32"/>
        </w:rPr>
      </w:pPr>
    </w:p>
    <w:p>
      <w:pPr>
        <w:pStyle w:val="2"/>
        <w:rPr>
          <w:rStyle w:val="9"/>
          <w:rFonts w:hint="default" w:ascii="黑体" w:eastAsia="黑体"/>
          <w:b w:val="0"/>
          <w:sz w:val="32"/>
          <w:szCs w:val="32"/>
        </w:rPr>
      </w:pPr>
    </w:p>
    <w:p>
      <w:pPr>
        <w:pStyle w:val="2"/>
        <w:rPr>
          <w:rStyle w:val="9"/>
          <w:rFonts w:hint="default" w:ascii="黑体" w:eastAsia="黑体"/>
          <w:b w:val="0"/>
          <w:sz w:val="32"/>
          <w:szCs w:val="32"/>
        </w:rPr>
      </w:pPr>
    </w:p>
    <w:p>
      <w:pPr>
        <w:pStyle w:val="2"/>
        <w:rPr>
          <w:rStyle w:val="9"/>
          <w:rFonts w:hint="default" w:ascii="黑体" w:eastAsia="黑体"/>
          <w:b w:val="0"/>
          <w:sz w:val="32"/>
          <w:szCs w:val="32"/>
        </w:rPr>
      </w:pPr>
    </w:p>
    <w:p>
      <w:pPr>
        <w:pStyle w:val="2"/>
        <w:rPr>
          <w:rStyle w:val="9"/>
          <w:rFonts w:hint="default" w:ascii="黑体" w:eastAsia="黑体"/>
          <w:b w:val="0"/>
          <w:sz w:val="32"/>
          <w:szCs w:val="32"/>
        </w:rPr>
      </w:pPr>
    </w:p>
    <w:p>
      <w:pPr>
        <w:pStyle w:val="2"/>
        <w:rPr>
          <w:rStyle w:val="9"/>
          <w:rFonts w:hint="default" w:ascii="黑体" w:eastAsia="黑体"/>
          <w:b w:val="0"/>
          <w:sz w:val="32"/>
          <w:szCs w:val="32"/>
        </w:rPr>
      </w:pPr>
    </w:p>
    <w:p>
      <w:pPr>
        <w:pStyle w:val="2"/>
        <w:rPr>
          <w:rStyle w:val="9"/>
          <w:rFonts w:hint="default" w:ascii="黑体" w:eastAsia="黑体"/>
          <w:b w:val="0"/>
          <w:sz w:val="32"/>
          <w:szCs w:val="32"/>
        </w:rPr>
      </w:pPr>
    </w:p>
    <w:p>
      <w:pPr>
        <w:pStyle w:val="2"/>
        <w:rPr>
          <w:rStyle w:val="9"/>
          <w:rFonts w:hint="default" w:ascii="黑体" w:eastAsia="黑体"/>
          <w:b w:val="0"/>
          <w:sz w:val="32"/>
          <w:szCs w:val="32"/>
        </w:rPr>
      </w:pPr>
    </w:p>
    <w:p>
      <w:pPr>
        <w:pStyle w:val="2"/>
        <w:tabs>
          <w:tab w:val="left" w:pos="2608"/>
        </w:tabs>
        <w:rPr>
          <w:rStyle w:val="9"/>
          <w:rFonts w:hint="default" w:ascii="黑体" w:eastAsia="黑体"/>
          <w:b w:val="0"/>
          <w:sz w:val="32"/>
          <w:szCs w:val="32"/>
        </w:rPr>
      </w:pPr>
      <w:r>
        <w:rPr>
          <w:rStyle w:val="9"/>
          <w:rFonts w:ascii="黑体" w:eastAsia="黑体"/>
          <w:b w:val="0"/>
          <w:sz w:val="32"/>
          <w:szCs w:val="32"/>
        </w:rPr>
        <w:tab/>
      </w:r>
    </w:p>
    <w:p>
      <w:pPr>
        <w:pStyle w:val="2"/>
        <w:tabs>
          <w:tab w:val="left" w:pos="2608"/>
        </w:tabs>
        <w:rPr>
          <w:rStyle w:val="9"/>
          <w:rFonts w:hint="default" w:ascii="黑体" w:eastAsia="黑体"/>
          <w:b w:val="0"/>
          <w:sz w:val="32"/>
          <w:szCs w:val="32"/>
        </w:rPr>
      </w:pPr>
    </w:p>
    <w:p>
      <w:pPr>
        <w:pStyle w:val="2"/>
        <w:tabs>
          <w:tab w:val="left" w:pos="2608"/>
        </w:tabs>
        <w:rPr>
          <w:rStyle w:val="9"/>
          <w:rFonts w:hint="default" w:ascii="黑体" w:eastAsia="黑体"/>
          <w:b w:val="0"/>
          <w:sz w:val="32"/>
          <w:szCs w:val="32"/>
        </w:rPr>
      </w:pPr>
    </w:p>
    <w:p>
      <w:pPr>
        <w:spacing w:line="520" w:lineRule="exact"/>
        <w:ind w:firstLine="627" w:firstLineChars="196"/>
        <w:rPr>
          <w:rStyle w:val="9"/>
          <w:rFonts w:ascii="黑体" w:eastAsia="黑体"/>
          <w:b w:val="0"/>
          <w:color w:val="000000"/>
          <w:sz w:val="32"/>
          <w:szCs w:val="32"/>
        </w:rPr>
      </w:pPr>
      <w:r>
        <w:rPr>
          <w:rStyle w:val="9"/>
          <w:rFonts w:hint="eastAsia" w:ascii="黑体" w:eastAsia="黑体"/>
          <w:b w:val="0"/>
          <w:color w:val="000000"/>
          <w:sz w:val="32"/>
          <w:szCs w:val="32"/>
        </w:rPr>
        <w:t>一、部门概况</w:t>
      </w:r>
    </w:p>
    <w:p>
      <w:pPr>
        <w:spacing w:line="520" w:lineRule="exact"/>
        <w:ind w:firstLine="627" w:firstLineChars="196"/>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（一）主要职能</w:t>
      </w:r>
    </w:p>
    <w:p>
      <w:pPr>
        <w:pStyle w:val="2"/>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1.人才培养。坚持“育人为本、德育为先、能力为重、全面发展”的育人理念，持续推进“三全育人”，着力培养德智体美劳全面发展的社会主义建设者和接班人。</w:t>
      </w:r>
    </w:p>
    <w:p>
      <w:pPr>
        <w:pStyle w:val="2"/>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2.科学研究。聚焦合作兴校，强化协同攻关，积极打造重大项目成果，大力加强团队和平台建设，健全科研管理制度，注重创新和贡献，实现科学研究量质齐升。</w:t>
      </w:r>
    </w:p>
    <w:p>
      <w:pPr>
        <w:pStyle w:val="2"/>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3.服务地方。坚持“以服务赢支持、以贡献促发展”的理念，强化需求牵引，充分发挥人才、技术和智力集聚优势，拓宽服务领域，增强服务效益，切实提升服务区域经济社会发展的贡献力和美誉度。</w:t>
      </w:r>
    </w:p>
    <w:p>
      <w:pPr>
        <w:pStyle w:val="2"/>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仿宋_GB2312" w:eastAsia="仿宋_GB2312"/>
          <w:bCs/>
          <w:sz w:val="32"/>
          <w:szCs w:val="32"/>
          <w:highlight w:val="none"/>
        </w:rPr>
      </w:pPr>
      <w:r>
        <w:rPr>
          <w:rFonts w:hint="eastAsia" w:ascii="仿宋_GB2312" w:eastAsia="仿宋_GB2312"/>
          <w:bCs/>
          <w:sz w:val="32"/>
          <w:szCs w:val="32"/>
          <w:highlight w:val="none"/>
        </w:rPr>
        <w:t>4.文化传承与创新。加强中华优秀传统文化教育，充分发挥“南孔圣地”特有的区域传统特色文化教育作用，提高学生对中华优秀传统文化的自主学习和探究能力，培养学生的文化创新意识，增强学生传承弘扬中华优秀传统文化的责任感和使命感。</w:t>
      </w:r>
    </w:p>
    <w:p>
      <w:pPr>
        <w:pStyle w:val="2"/>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default"/>
          <w:highlight w:val="none"/>
        </w:rPr>
      </w:pPr>
      <w:r>
        <w:rPr>
          <w:rFonts w:hint="eastAsia" w:ascii="仿宋_GB2312" w:eastAsia="仿宋_GB2312"/>
          <w:bCs/>
          <w:sz w:val="32"/>
          <w:szCs w:val="32"/>
          <w:highlight w:val="none"/>
        </w:rPr>
        <w:t>5.国际交流与合作。积极融入国家“一带一路”战略，坚持“引进来”与“走出去”并重，加强顶层设计，大力推进国际交流合作，开展中外合作办学和学历留学生培养。</w:t>
      </w:r>
    </w:p>
    <w:p>
      <w:pPr>
        <w:spacing w:line="520" w:lineRule="exact"/>
        <w:ind w:firstLine="627" w:firstLineChars="196"/>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（二）部门机构设置情况</w:t>
      </w:r>
    </w:p>
    <w:p>
      <w:pPr>
        <w:spacing w:line="520" w:lineRule="exact"/>
        <w:ind w:firstLine="627" w:firstLineChars="196"/>
        <w:rPr>
          <w:rStyle w:val="9"/>
          <w:rFonts w:hint="eastAsia" w:ascii="黑体" w:hAnsi="Times New Roman" w:eastAsia="黑体" w:cs="Times New Roman"/>
          <w:b w:val="0"/>
          <w:color w:val="000000"/>
          <w:sz w:val="32"/>
          <w:szCs w:val="32"/>
        </w:rPr>
      </w:pPr>
      <w:r>
        <w:rPr>
          <w:rFonts w:hint="eastAsia" w:ascii="仿宋_GB2312" w:eastAsia="仿宋_GB2312"/>
          <w:bCs/>
          <w:sz w:val="32"/>
          <w:szCs w:val="32"/>
        </w:rPr>
        <w:t>从预算单位构成看，衢州学院预算包括：</w:t>
      </w:r>
      <w:r>
        <w:rPr>
          <w:rFonts w:hint="eastAsia" w:ascii="仿宋_GB2312" w:eastAsia="仿宋_GB2312"/>
          <w:bCs/>
          <w:sz w:val="32"/>
          <w:szCs w:val="32"/>
          <w:lang w:eastAsia="zh-CN"/>
        </w:rPr>
        <w:t>衢州学院</w:t>
      </w:r>
      <w:r>
        <w:rPr>
          <w:rFonts w:hint="eastAsia" w:ascii="仿宋_GB2312" w:eastAsia="仿宋_GB2312"/>
          <w:bCs/>
          <w:sz w:val="32"/>
          <w:szCs w:val="32"/>
        </w:rPr>
        <w:t>本级</w:t>
      </w:r>
      <w:r>
        <w:rPr>
          <w:rFonts w:hint="eastAsia" w:ascii="仿宋_GB2312" w:eastAsia="仿宋_GB2312"/>
          <w:bCs/>
          <w:sz w:val="32"/>
          <w:szCs w:val="32"/>
          <w:lang w:eastAsia="zh-CN"/>
        </w:rPr>
        <w:t>预算</w:t>
      </w:r>
      <w:r>
        <w:rPr>
          <w:rFonts w:hint="eastAsia" w:ascii="仿宋_GB2312" w:eastAsia="仿宋_GB2312"/>
          <w:bCs/>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楷体_GB2312" w:hAnsi="楷体_GB2312" w:eastAsia="楷体_GB2312" w:cs="楷体_GB2312"/>
          <w:color w:val="000000"/>
          <w:sz w:val="32"/>
          <w:szCs w:val="32"/>
        </w:rPr>
      </w:pPr>
      <w:r>
        <w:rPr>
          <w:rStyle w:val="9"/>
          <w:rFonts w:hint="eastAsia" w:ascii="黑体" w:hAnsi="Times New Roman" w:eastAsia="黑体" w:cs="Times New Roman"/>
          <w:b w:val="0"/>
          <w:color w:val="000000"/>
          <w:sz w:val="32"/>
          <w:szCs w:val="32"/>
        </w:rPr>
        <w:t>二、</w:t>
      </w:r>
      <w:r>
        <w:rPr>
          <w:rStyle w:val="9"/>
          <w:rFonts w:hint="eastAsia" w:ascii="黑体" w:hAnsi="Times New Roman" w:eastAsia="黑体" w:cs="Times New Roman"/>
          <w:b w:val="0"/>
          <w:color w:val="000000"/>
          <w:sz w:val="32"/>
          <w:szCs w:val="32"/>
          <w:lang w:eastAsia="zh-CN"/>
        </w:rPr>
        <w:t>2026年</w:t>
      </w:r>
      <w:r>
        <w:rPr>
          <w:rStyle w:val="9"/>
          <w:rFonts w:hint="eastAsia" w:ascii="黑体" w:hAnsi="Times New Roman" w:eastAsia="黑体" w:cs="Times New Roman"/>
          <w:b w:val="0"/>
          <w:color w:val="000000"/>
          <w:sz w:val="32"/>
          <w:szCs w:val="32"/>
        </w:rPr>
        <w:t>衢州学院部门预算安排情况说明</w:t>
      </w:r>
      <w:r>
        <w:rPr>
          <w:rStyle w:val="9"/>
          <w:rFonts w:hint="eastAsia" w:ascii="黑体" w:hAnsi="Times New Roman" w:eastAsia="黑体" w:cs="Times New Roman"/>
          <w:b w:val="0"/>
          <w:color w:val="000000"/>
          <w:sz w:val="32"/>
          <w:szCs w:val="32"/>
        </w:rPr>
        <w:br w:type="textWrapping"/>
      </w:r>
      <w:r>
        <w:rPr>
          <w:rFonts w:hint="eastAsia" w:ascii="仿宋_GB2312" w:eastAsia="仿宋_GB2312"/>
          <w:b/>
          <w:bCs/>
          <w:color w:val="000000"/>
          <w:sz w:val="32"/>
          <w:szCs w:val="32"/>
        </w:rPr>
        <w:t>　　</w:t>
      </w:r>
      <w:r>
        <w:rPr>
          <w:rFonts w:hint="eastAsia" w:ascii="楷体_GB2312" w:hAnsi="楷体_GB2312" w:eastAsia="楷体_GB2312" w:cs="楷体_GB2312"/>
          <w:color w:val="000000"/>
          <w:sz w:val="32"/>
          <w:szCs w:val="32"/>
        </w:rPr>
        <w:t>（一）关于衢州学院</w:t>
      </w:r>
      <w:r>
        <w:rPr>
          <w:rStyle w:val="9"/>
          <w:rFonts w:hint="eastAsia" w:ascii="楷体_GB2312" w:hAnsi="楷体_GB2312" w:eastAsia="楷体_GB2312" w:cs="楷体_GB2312"/>
          <w:b w:val="0"/>
          <w:bCs w:val="0"/>
          <w:color w:val="000000"/>
          <w:sz w:val="32"/>
          <w:szCs w:val="32"/>
          <w:lang w:eastAsia="zh-CN"/>
        </w:rPr>
        <w:t>2026年</w:t>
      </w:r>
      <w:r>
        <w:rPr>
          <w:rStyle w:val="9"/>
          <w:rFonts w:hint="eastAsia" w:ascii="楷体_GB2312" w:hAnsi="楷体_GB2312" w:eastAsia="楷体_GB2312" w:cs="楷体_GB2312"/>
          <w:b w:val="0"/>
          <w:bCs w:val="0"/>
          <w:color w:val="000000"/>
          <w:sz w:val="32"/>
          <w:szCs w:val="32"/>
        </w:rPr>
        <w:t>收支预算情况的总体说明</w:t>
      </w:r>
    </w:p>
    <w:p>
      <w:pPr>
        <w:spacing w:line="520" w:lineRule="exact"/>
        <w:ind w:firstLine="480" w:firstLineChars="150"/>
        <w:rPr>
          <w:rFonts w:ascii="楷体_GB2312" w:hAnsi="楷体_GB2312" w:eastAsia="楷体_GB2312" w:cs="楷体_GB2312"/>
          <w:b/>
          <w:color w:val="000000"/>
          <w:sz w:val="32"/>
          <w:szCs w:val="32"/>
        </w:rPr>
      </w:pPr>
      <w:r>
        <w:rPr>
          <w:rFonts w:hint="eastAsia" w:ascii="仿宋_GB2312" w:eastAsia="仿宋_GB2312"/>
          <w:bCs/>
          <w:color w:val="000000"/>
          <w:sz w:val="32"/>
          <w:szCs w:val="32"/>
        </w:rPr>
        <w:t xml:space="preserve"> 按照</w:t>
      </w:r>
      <w:r>
        <w:rPr>
          <w:rFonts w:hint="eastAsia" w:ascii="仿宋_GB2312" w:eastAsia="仿宋_GB2312"/>
          <w:bCs/>
          <w:sz w:val="32"/>
          <w:szCs w:val="32"/>
        </w:rPr>
        <w:t>综合预算的原则，衢州学院</w:t>
      </w:r>
      <w:r>
        <w:rPr>
          <w:rFonts w:hint="eastAsia" w:ascii="仿宋_GB2312" w:eastAsia="仿宋_GB2312"/>
          <w:color w:val="000000"/>
          <w:sz w:val="32"/>
          <w:szCs w:val="32"/>
        </w:rPr>
        <w:t>所有收入和支出均纳入部门预算管理。收入包括：一般公共预算收入、政府性基金预算收入、财政专户管理资金收入、其他收入、上年结转结余；支出包括：教育支出、科学技术支出、社会保障和就业支出、卫生健康支出、城乡社区支出、住房保障支出。衢州学院</w:t>
      </w:r>
      <w:r>
        <w:rPr>
          <w:rFonts w:hint="eastAsia" w:ascii="仿宋_GB2312" w:eastAsia="仿宋_GB2312"/>
          <w:color w:val="000000"/>
          <w:sz w:val="32"/>
          <w:szCs w:val="32"/>
          <w:lang w:eastAsia="zh-CN"/>
        </w:rPr>
        <w:t>2026年</w:t>
      </w:r>
      <w:r>
        <w:rPr>
          <w:rFonts w:hint="eastAsia" w:ascii="仿宋_GB2312" w:eastAsia="仿宋_GB2312"/>
          <w:color w:val="000000"/>
          <w:sz w:val="32"/>
          <w:szCs w:val="32"/>
        </w:rPr>
        <w:t>收支总预算52110.38万元。</w:t>
      </w:r>
    </w:p>
    <w:p>
      <w:pPr>
        <w:spacing w:line="520" w:lineRule="exact"/>
        <w:ind w:firstLine="642"/>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（二）关于衢州学院</w:t>
      </w:r>
      <w:r>
        <w:rPr>
          <w:rFonts w:hint="eastAsia" w:ascii="楷体_GB2312" w:hAnsi="楷体_GB2312" w:eastAsia="楷体_GB2312" w:cs="楷体_GB2312"/>
          <w:bCs/>
          <w:color w:val="000000"/>
          <w:sz w:val="32"/>
          <w:szCs w:val="32"/>
          <w:lang w:eastAsia="zh-CN"/>
        </w:rPr>
        <w:t>2026年</w:t>
      </w:r>
      <w:r>
        <w:rPr>
          <w:rFonts w:hint="eastAsia" w:ascii="楷体_GB2312" w:hAnsi="楷体_GB2312" w:eastAsia="楷体_GB2312" w:cs="楷体_GB2312"/>
          <w:bCs/>
          <w:color w:val="000000"/>
          <w:sz w:val="32"/>
          <w:szCs w:val="32"/>
        </w:rPr>
        <w:t>收入预算情况说明</w:t>
      </w:r>
    </w:p>
    <w:p>
      <w:pPr>
        <w:spacing w:line="520" w:lineRule="exact"/>
        <w:ind w:firstLine="642"/>
        <w:rPr>
          <w:rFonts w:ascii="仿宋_GB2312" w:eastAsia="仿宋_GB2312"/>
          <w:color w:val="000000"/>
          <w:sz w:val="32"/>
          <w:szCs w:val="32"/>
          <w:highlight w:val="yellow"/>
        </w:rPr>
      </w:pPr>
      <w:r>
        <w:rPr>
          <w:rFonts w:hint="eastAsia" w:ascii="仿宋_GB2312" w:hAnsi="仿宋_GB2312" w:eastAsia="仿宋_GB2312" w:cs="仿宋_GB2312"/>
          <w:color w:val="000000"/>
          <w:sz w:val="32"/>
          <w:szCs w:val="32"/>
          <w:highlight w:val="none"/>
        </w:rPr>
        <w:t>衢州学院</w:t>
      </w:r>
      <w:r>
        <w:rPr>
          <w:rFonts w:hint="eastAsia" w:ascii="仿宋_GB2312" w:hAnsi="仿宋_GB2312" w:eastAsia="仿宋_GB2312" w:cs="仿宋_GB2312"/>
          <w:color w:val="000000"/>
          <w:sz w:val="32"/>
          <w:szCs w:val="32"/>
          <w:highlight w:val="none"/>
          <w:lang w:eastAsia="zh-CN"/>
        </w:rPr>
        <w:t>2026年</w:t>
      </w:r>
      <w:r>
        <w:rPr>
          <w:rFonts w:hint="eastAsia" w:ascii="仿宋_GB2312" w:hAnsi="仿宋_GB2312" w:eastAsia="仿宋_GB2312" w:cs="仿宋_GB2312"/>
          <w:color w:val="000000"/>
          <w:sz w:val="32"/>
          <w:szCs w:val="32"/>
          <w:highlight w:val="none"/>
        </w:rPr>
        <w:t>收入预算52110.38万元，比上年执行数减少</w:t>
      </w:r>
      <w:r>
        <w:rPr>
          <w:rFonts w:hint="eastAsia" w:ascii="仿宋_GB2312" w:hAnsi="仿宋_GB2312" w:eastAsia="仿宋_GB2312" w:cs="仿宋_GB2312"/>
          <w:color w:val="000000"/>
          <w:sz w:val="32"/>
          <w:szCs w:val="32"/>
          <w:highlight w:val="none"/>
          <w:lang w:val="en-US" w:eastAsia="zh-CN"/>
        </w:rPr>
        <w:t>8305.50</w:t>
      </w:r>
      <w:r>
        <w:rPr>
          <w:rFonts w:hint="eastAsia" w:ascii="仿宋_GB2312" w:hAnsi="仿宋_GB2312" w:eastAsia="仿宋_GB2312" w:cs="仿宋_GB2312"/>
          <w:color w:val="000000"/>
          <w:sz w:val="32"/>
          <w:szCs w:val="32"/>
          <w:highlight w:val="none"/>
        </w:rPr>
        <w:t>万元，下</w:t>
      </w:r>
      <w:r>
        <w:rPr>
          <w:rFonts w:hint="eastAsia" w:ascii="仿宋_GB2312" w:hAnsi="仿宋_GB2312" w:eastAsia="仿宋_GB2312" w:cs="仿宋_GB2312"/>
          <w:color w:val="000000"/>
          <w:sz w:val="32"/>
          <w:highlight w:val="none"/>
        </w:rPr>
        <w:t>降</w:t>
      </w:r>
      <w:r>
        <w:rPr>
          <w:rFonts w:hint="eastAsia" w:ascii="仿宋_GB2312" w:hAnsi="仿宋_GB2312" w:eastAsia="仿宋_GB2312" w:cs="仿宋_GB2312"/>
          <w:color w:val="000000"/>
          <w:sz w:val="32"/>
          <w:highlight w:val="none"/>
          <w:lang w:val="en-US" w:eastAsia="zh-CN"/>
        </w:rPr>
        <w:t>13.7</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szCs w:val="32"/>
          <w:highlight w:val="none"/>
        </w:rPr>
        <w:t>主要是</w:t>
      </w:r>
      <w:r>
        <w:rPr>
          <w:rFonts w:hint="eastAsia" w:ascii="仿宋_GB2312" w:hAnsi="仿宋_GB2312" w:eastAsia="仿宋_GB2312" w:cs="仿宋_GB2312"/>
          <w:color w:val="000000"/>
          <w:sz w:val="32"/>
          <w:szCs w:val="32"/>
          <w:highlight w:val="none"/>
          <w:lang w:eastAsia="zh-CN"/>
        </w:rPr>
        <w:t>专项债资金和市级人才专项资金未下达，需待年中追加收入</w:t>
      </w:r>
      <w:r>
        <w:rPr>
          <w:rFonts w:hint="eastAsia" w:ascii="仿宋_GB2312" w:hAnsi="仿宋_GB2312" w:eastAsia="仿宋_GB2312" w:cs="仿宋_GB2312"/>
          <w:color w:val="000000"/>
          <w:sz w:val="32"/>
          <w:szCs w:val="32"/>
          <w:highlight w:val="none"/>
        </w:rPr>
        <w:t>。</w:t>
      </w:r>
    </w:p>
    <w:p>
      <w:pPr>
        <w:spacing w:line="520" w:lineRule="exact"/>
        <w:ind w:firstLine="642"/>
        <w:rPr>
          <w:rFonts w:ascii="仿宋_GB2312" w:eastAsia="仿宋_GB2312"/>
          <w:color w:val="000000"/>
          <w:sz w:val="32"/>
          <w:szCs w:val="32"/>
        </w:rPr>
      </w:pPr>
      <w:r>
        <w:rPr>
          <w:rFonts w:hint="eastAsia" w:ascii="仿宋_GB2312" w:eastAsia="仿宋_GB2312"/>
          <w:color w:val="000000"/>
          <w:sz w:val="32"/>
          <w:szCs w:val="32"/>
        </w:rPr>
        <w:t>其中：一般公共预算拨款收入29825.98万元（上年结转305.45万元），占57.2%；政府性基金收入6306.00万元，占12.1%；专户资金10301.45万元，占19.8%；其他收入5676.95万元，占10.9%。</w:t>
      </w:r>
      <w:r>
        <w:rPr>
          <w:rFonts w:hint="eastAsia" w:ascii="仿宋_GB2312" w:eastAsia="仿宋_GB2312"/>
          <w:color w:val="000000"/>
          <w:sz w:val="32"/>
          <w:szCs w:val="32"/>
        </w:rPr>
        <w:br w:type="textWrapping"/>
      </w:r>
      <w:r>
        <w:rPr>
          <w:rFonts w:hint="eastAsia" w:ascii="楷体_GB2312" w:hAnsi="楷体_GB2312" w:eastAsia="楷体_GB2312" w:cs="楷体_GB2312"/>
          <w:bCs/>
          <w:color w:val="000000"/>
          <w:sz w:val="32"/>
          <w:szCs w:val="32"/>
        </w:rPr>
        <w:t>　　（三）关于衢州学院</w:t>
      </w:r>
      <w:r>
        <w:rPr>
          <w:rFonts w:hint="eastAsia" w:ascii="楷体_GB2312" w:hAnsi="楷体_GB2312" w:eastAsia="楷体_GB2312" w:cs="楷体_GB2312"/>
          <w:bCs/>
          <w:color w:val="000000"/>
          <w:sz w:val="32"/>
          <w:szCs w:val="32"/>
          <w:lang w:eastAsia="zh-CN"/>
        </w:rPr>
        <w:t>2026年</w:t>
      </w:r>
      <w:r>
        <w:rPr>
          <w:rFonts w:hint="eastAsia" w:ascii="楷体_GB2312" w:hAnsi="楷体_GB2312" w:eastAsia="楷体_GB2312" w:cs="楷体_GB2312"/>
          <w:bCs/>
          <w:color w:val="000000"/>
          <w:sz w:val="32"/>
          <w:szCs w:val="32"/>
        </w:rPr>
        <w:t>支出预算情况说明</w:t>
      </w:r>
      <w:r>
        <w:rPr>
          <w:rFonts w:hint="eastAsia" w:ascii="楷体_GB2312" w:hAnsi="楷体_GB2312" w:eastAsia="楷体_GB2312" w:cs="楷体_GB2312"/>
          <w:bCs/>
          <w:color w:val="000000"/>
          <w:sz w:val="32"/>
          <w:szCs w:val="32"/>
        </w:rPr>
        <w:br w:type="textWrapping"/>
      </w:r>
      <w:r>
        <w:rPr>
          <w:rFonts w:hint="eastAsia" w:ascii="仿宋_GB2312" w:eastAsia="仿宋_GB2312"/>
          <w:color w:val="000000"/>
          <w:sz w:val="32"/>
          <w:szCs w:val="32"/>
        </w:rPr>
        <w:t>　</w:t>
      </w:r>
      <w:r>
        <w:rPr>
          <w:rFonts w:hint="eastAsia" w:ascii="仿宋_GB2312" w:hAnsi="仿宋_GB2312" w:eastAsia="仿宋_GB2312" w:cs="仿宋_GB2312"/>
          <w:color w:val="000000"/>
          <w:sz w:val="32"/>
          <w:szCs w:val="32"/>
        </w:rPr>
        <w:t>　衢州学院</w:t>
      </w:r>
      <w:r>
        <w:rPr>
          <w:rFonts w:hint="eastAsia" w:ascii="仿宋_GB2312" w:hAnsi="仿宋_GB2312" w:eastAsia="仿宋_GB2312" w:cs="仿宋_GB2312"/>
          <w:color w:val="000000"/>
          <w:sz w:val="32"/>
          <w:szCs w:val="32"/>
          <w:highlight w:val="none"/>
          <w:lang w:eastAsia="zh-CN"/>
        </w:rPr>
        <w:t>2026年</w:t>
      </w:r>
      <w:r>
        <w:rPr>
          <w:rFonts w:hint="eastAsia" w:ascii="仿宋_GB2312" w:hAnsi="仿宋_GB2312" w:eastAsia="仿宋_GB2312" w:cs="仿宋_GB2312"/>
          <w:color w:val="000000"/>
          <w:sz w:val="32"/>
          <w:szCs w:val="32"/>
          <w:highlight w:val="none"/>
        </w:rPr>
        <w:t>支出预算52110.38万元，比上年执行数减少</w:t>
      </w:r>
      <w:r>
        <w:rPr>
          <w:rFonts w:hint="eastAsia" w:ascii="仿宋_GB2312" w:hAnsi="仿宋_GB2312" w:eastAsia="仿宋_GB2312" w:cs="仿宋_GB2312"/>
          <w:color w:val="000000"/>
          <w:sz w:val="32"/>
          <w:szCs w:val="32"/>
          <w:highlight w:val="none"/>
          <w:lang w:val="en-US" w:eastAsia="zh-CN"/>
        </w:rPr>
        <w:t>8168.02</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highlight w:val="none"/>
        </w:rPr>
        <w:t>下降</w:t>
      </w:r>
      <w:r>
        <w:rPr>
          <w:rFonts w:hint="eastAsia" w:ascii="仿宋_GB2312" w:hAnsi="仿宋_GB2312" w:eastAsia="仿宋_GB2312" w:cs="仿宋_GB2312"/>
          <w:color w:val="000000"/>
          <w:sz w:val="32"/>
          <w:highlight w:val="none"/>
          <w:lang w:val="en-US" w:eastAsia="zh-CN"/>
        </w:rPr>
        <w:t>13.6</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szCs w:val="32"/>
          <w:highlight w:val="none"/>
        </w:rPr>
        <w:t>主要是专项债资金和市级人才专项资金未下达，</w:t>
      </w:r>
      <w:r>
        <w:rPr>
          <w:rFonts w:hint="eastAsia" w:ascii="仿宋_GB2312" w:hAnsi="仿宋_GB2312" w:eastAsia="仿宋_GB2312" w:cs="仿宋_GB2312"/>
          <w:color w:val="000000"/>
          <w:sz w:val="32"/>
          <w:szCs w:val="32"/>
          <w:highlight w:val="none"/>
          <w:lang w:eastAsia="zh-CN"/>
        </w:rPr>
        <w:t>支出暂未列入</w:t>
      </w:r>
      <w:r>
        <w:rPr>
          <w:rFonts w:hint="eastAsia" w:ascii="仿宋_GB2312" w:hAnsi="仿宋_GB2312" w:eastAsia="仿宋_GB2312" w:cs="仿宋_GB2312"/>
          <w:color w:val="000000"/>
          <w:sz w:val="32"/>
          <w:szCs w:val="32"/>
          <w:highlight w:val="none"/>
        </w:rPr>
        <w:t>。</w:t>
      </w:r>
    </w:p>
    <w:p>
      <w:pPr>
        <w:spacing w:line="520" w:lineRule="exact"/>
        <w:ind w:firstLine="630"/>
        <w:rPr>
          <w:rFonts w:ascii="仿宋_GB2312" w:eastAsia="仿宋_GB2312"/>
          <w:color w:val="000000"/>
          <w:sz w:val="32"/>
          <w:szCs w:val="32"/>
        </w:rPr>
      </w:pPr>
      <w:r>
        <w:rPr>
          <w:rFonts w:hint="eastAsia" w:ascii="仿宋_GB2312" w:eastAsia="仿宋_GB2312"/>
          <w:color w:val="000000"/>
          <w:sz w:val="32"/>
          <w:szCs w:val="32"/>
        </w:rPr>
        <w:t>1.按支出功能分类，包括教育支出39287.93万元、科学技术支出313.22万元、社会保障和就业支出2733.11万元、卫生健康支出525.32万元、城乡社区支出6306.00万元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住房保障支出2944.80万元。</w:t>
      </w:r>
    </w:p>
    <w:p>
      <w:pPr>
        <w:spacing w:line="520" w:lineRule="exact"/>
        <w:ind w:firstLine="642"/>
        <w:rPr>
          <w:rFonts w:ascii="仿宋_GB2312" w:eastAsia="仿宋_GB2312"/>
          <w:color w:val="000000"/>
          <w:sz w:val="32"/>
          <w:szCs w:val="32"/>
        </w:rPr>
      </w:pPr>
      <w:r>
        <w:rPr>
          <w:rFonts w:hint="eastAsia" w:ascii="仿宋_GB2312" w:eastAsia="仿宋_GB2312"/>
          <w:color w:val="000000"/>
          <w:sz w:val="32"/>
          <w:szCs w:val="32"/>
        </w:rPr>
        <w:t>2.按支出用途分类，包括人员支出26803.13万元，占51.4%；日常公用支出2957.8</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万元，占5.7%；项目支出22349.40万元，占42.9%。</w:t>
      </w:r>
    </w:p>
    <w:p>
      <w:pPr>
        <w:spacing w:line="520" w:lineRule="exact"/>
        <w:ind w:firstLine="642"/>
        <w:rPr>
          <w:rFonts w:ascii="仿宋_GB2312" w:eastAsia="仿宋_GB2312"/>
          <w:color w:val="000000"/>
          <w:sz w:val="32"/>
          <w:szCs w:val="32"/>
        </w:rPr>
      </w:pPr>
      <w:r>
        <w:rPr>
          <w:rFonts w:hint="eastAsia" w:ascii="仿宋_GB2312" w:eastAsia="仿宋_GB2312"/>
          <w:color w:val="000000"/>
          <w:sz w:val="32"/>
          <w:szCs w:val="32"/>
        </w:rPr>
        <w:t>年终结转结余0.00万元。</w:t>
      </w:r>
    </w:p>
    <w:p>
      <w:pPr>
        <w:spacing w:line="520" w:lineRule="exact"/>
        <w:ind w:firstLine="627" w:firstLineChars="196"/>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（四）关于衢州学院</w:t>
      </w:r>
      <w:r>
        <w:rPr>
          <w:rFonts w:hint="eastAsia" w:ascii="楷体_GB2312" w:hAnsi="楷体_GB2312" w:eastAsia="楷体_GB2312" w:cs="楷体_GB2312"/>
          <w:bCs/>
          <w:color w:val="000000"/>
          <w:sz w:val="32"/>
          <w:szCs w:val="32"/>
          <w:lang w:eastAsia="zh-CN"/>
        </w:rPr>
        <w:t>2026年</w:t>
      </w:r>
      <w:r>
        <w:rPr>
          <w:rFonts w:hint="eastAsia" w:ascii="楷体_GB2312" w:hAnsi="楷体_GB2312" w:eastAsia="楷体_GB2312" w:cs="楷体_GB2312"/>
          <w:bCs/>
          <w:color w:val="000000"/>
          <w:sz w:val="32"/>
          <w:szCs w:val="32"/>
        </w:rPr>
        <w:t>财政拨款收支预算情况的总体说明</w:t>
      </w:r>
    </w:p>
    <w:p>
      <w:pPr>
        <w:spacing w:line="520" w:lineRule="exact"/>
        <w:ind w:firstLine="640"/>
        <w:rPr>
          <w:rFonts w:ascii="仿宋_GB2312" w:eastAsia="仿宋_GB2312"/>
          <w:color w:val="000000"/>
          <w:sz w:val="32"/>
          <w:szCs w:val="32"/>
        </w:rPr>
      </w:pPr>
      <w:r>
        <w:rPr>
          <w:rFonts w:hint="eastAsia" w:ascii="仿宋_GB2312" w:eastAsia="仿宋_GB2312"/>
          <w:color w:val="000000"/>
          <w:sz w:val="32"/>
          <w:szCs w:val="32"/>
        </w:rPr>
        <w:t>衢州学院</w:t>
      </w:r>
      <w:r>
        <w:rPr>
          <w:rFonts w:hint="eastAsia" w:ascii="仿宋_GB2312" w:eastAsia="仿宋_GB2312"/>
          <w:color w:val="000000"/>
          <w:sz w:val="32"/>
          <w:szCs w:val="32"/>
          <w:lang w:eastAsia="zh-CN"/>
        </w:rPr>
        <w:t>2026年</w:t>
      </w:r>
      <w:r>
        <w:rPr>
          <w:rFonts w:hint="eastAsia" w:ascii="仿宋_GB2312" w:eastAsia="仿宋_GB2312"/>
          <w:color w:val="000000"/>
          <w:sz w:val="32"/>
          <w:szCs w:val="32"/>
        </w:rPr>
        <w:t>财政拨款收支总预算36131.98万元。收入包括：一般公共预算29825.98万元、政府性基金6306.00万元；支出包括：教育支出24564.5</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万元、科学技术支出313.22万元、社会保障和就业支出2201.28万元、卫生健康支出240.00万元、城乡社区支出6306.00万元、住房保障支出2506.97万元。</w:t>
      </w:r>
    </w:p>
    <w:p>
      <w:pPr>
        <w:numPr>
          <w:ilvl w:val="0"/>
          <w:numId w:val="1"/>
        </w:numPr>
        <w:spacing w:line="520" w:lineRule="exact"/>
        <w:ind w:firstLine="64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关于衢州学院</w:t>
      </w:r>
      <w:r>
        <w:rPr>
          <w:rFonts w:hint="eastAsia" w:ascii="楷体_GB2312" w:hAnsi="楷体_GB2312" w:eastAsia="楷体_GB2312" w:cs="楷体_GB2312"/>
          <w:bCs/>
          <w:color w:val="000000"/>
          <w:sz w:val="32"/>
          <w:szCs w:val="32"/>
          <w:lang w:eastAsia="zh-CN"/>
        </w:rPr>
        <w:t>2026年</w:t>
      </w:r>
      <w:r>
        <w:rPr>
          <w:rFonts w:hint="eastAsia" w:ascii="楷体_GB2312" w:hAnsi="楷体_GB2312" w:eastAsia="楷体_GB2312" w:cs="楷体_GB2312"/>
          <w:bCs/>
          <w:color w:val="000000"/>
          <w:sz w:val="32"/>
          <w:szCs w:val="32"/>
        </w:rPr>
        <w:t>一般公共预算拨款情况说明</w:t>
      </w:r>
    </w:p>
    <w:p>
      <w:pPr>
        <w:spacing w:line="520" w:lineRule="exact"/>
        <w:ind w:firstLine="642"/>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1.一般公共预算拨款规模变化情况。</w:t>
      </w:r>
    </w:p>
    <w:p>
      <w:pPr>
        <w:spacing w:line="520" w:lineRule="exact"/>
        <w:ind w:firstLine="642"/>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衢州学院</w:t>
      </w:r>
      <w:r>
        <w:rPr>
          <w:rFonts w:hint="eastAsia" w:ascii="仿宋_GB2312" w:hAnsi="仿宋_GB2312" w:eastAsia="仿宋_GB2312" w:cs="仿宋_GB2312"/>
          <w:color w:val="000000"/>
          <w:sz w:val="32"/>
          <w:szCs w:val="32"/>
          <w:highlight w:val="none"/>
          <w:lang w:eastAsia="zh-CN"/>
        </w:rPr>
        <w:t>2026年</w:t>
      </w:r>
      <w:r>
        <w:rPr>
          <w:rFonts w:hint="eastAsia" w:ascii="仿宋_GB2312" w:hAnsi="仿宋_GB2312" w:eastAsia="仿宋_GB2312" w:cs="仿宋_GB2312"/>
          <w:color w:val="000000"/>
          <w:sz w:val="32"/>
          <w:szCs w:val="32"/>
          <w:highlight w:val="none"/>
        </w:rPr>
        <w:t>一般公共预算拨款</w:t>
      </w:r>
      <w:r>
        <w:rPr>
          <w:rFonts w:hint="eastAsia" w:ascii="仿宋_GB2312" w:hAnsi="仿宋_GB2312" w:eastAsia="仿宋_GB2312" w:cs="仿宋_GB2312"/>
          <w:bCs/>
          <w:color w:val="000000"/>
          <w:sz w:val="32"/>
          <w:szCs w:val="32"/>
          <w:highlight w:val="none"/>
        </w:rPr>
        <w:t>29825.98</w:t>
      </w:r>
      <w:r>
        <w:rPr>
          <w:rFonts w:hint="eastAsia" w:ascii="仿宋_GB2312" w:hAnsi="仿宋_GB2312" w:eastAsia="仿宋_GB2312" w:cs="仿宋_GB2312"/>
          <w:color w:val="000000"/>
          <w:sz w:val="32"/>
          <w:szCs w:val="32"/>
          <w:highlight w:val="none"/>
        </w:rPr>
        <w:t>万元，比上年执行数减少</w:t>
      </w:r>
      <w:r>
        <w:rPr>
          <w:rFonts w:hint="eastAsia" w:ascii="仿宋_GB2312" w:hAnsi="仿宋_GB2312" w:eastAsia="仿宋_GB2312" w:cs="仿宋_GB2312"/>
          <w:color w:val="000000"/>
          <w:sz w:val="32"/>
          <w:szCs w:val="32"/>
          <w:highlight w:val="none"/>
          <w:lang w:val="en-US" w:eastAsia="zh-CN"/>
        </w:rPr>
        <w:t>7483.60</w:t>
      </w:r>
      <w:r>
        <w:rPr>
          <w:rFonts w:hint="eastAsia" w:ascii="仿宋_GB2312" w:hAnsi="仿宋_GB2312" w:eastAsia="仿宋_GB2312" w:cs="仿宋_GB2312"/>
          <w:color w:val="000000"/>
          <w:sz w:val="32"/>
          <w:szCs w:val="32"/>
          <w:highlight w:val="none"/>
        </w:rPr>
        <w:t>万元，下</w:t>
      </w:r>
      <w:r>
        <w:rPr>
          <w:rFonts w:hint="eastAsia" w:ascii="仿宋_GB2312" w:hAnsi="仿宋_GB2312" w:eastAsia="仿宋_GB2312" w:cs="仿宋_GB2312"/>
          <w:color w:val="000000"/>
          <w:sz w:val="32"/>
          <w:highlight w:val="none"/>
        </w:rPr>
        <w:t>降</w:t>
      </w:r>
      <w:r>
        <w:rPr>
          <w:rFonts w:hint="eastAsia" w:ascii="仿宋_GB2312" w:hAnsi="仿宋_GB2312" w:eastAsia="仿宋_GB2312" w:cs="仿宋_GB2312"/>
          <w:color w:val="000000"/>
          <w:sz w:val="32"/>
          <w:highlight w:val="none"/>
          <w:lang w:val="en-US" w:eastAsia="zh-CN"/>
        </w:rPr>
        <w:t>20.1</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szCs w:val="32"/>
          <w:highlight w:val="none"/>
        </w:rPr>
        <w:t>主要</w:t>
      </w:r>
      <w:r>
        <w:rPr>
          <w:rFonts w:hint="eastAsia" w:ascii="仿宋_GB2312" w:hAnsi="仿宋_GB2312" w:eastAsia="仿宋_GB2312" w:cs="仿宋_GB2312"/>
          <w:color w:val="000000"/>
          <w:sz w:val="32"/>
          <w:szCs w:val="32"/>
          <w:highlight w:val="none"/>
          <w:lang w:eastAsia="zh-CN"/>
        </w:rPr>
        <w:t>是市级人才专项资金未下达，需待年中追加</w:t>
      </w:r>
      <w:r>
        <w:rPr>
          <w:rFonts w:hint="eastAsia" w:ascii="仿宋_GB2312" w:hAnsi="仿宋_GB2312" w:eastAsia="仿宋_GB2312" w:cs="仿宋_GB2312"/>
          <w:color w:val="000000"/>
          <w:sz w:val="32"/>
          <w:szCs w:val="32"/>
          <w:highlight w:val="none"/>
        </w:rPr>
        <w:t>。</w:t>
      </w:r>
    </w:p>
    <w:p>
      <w:pPr>
        <w:spacing w:line="520" w:lineRule="exact"/>
        <w:ind w:firstLine="642"/>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2.一般公共预算拨款结构情况。</w:t>
      </w:r>
    </w:p>
    <w:p>
      <w:pPr>
        <w:spacing w:line="520" w:lineRule="exact"/>
        <w:ind w:firstLine="640" w:firstLineChars="200"/>
        <w:rPr>
          <w:rFonts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教育支出24564.5</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万元，占82.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%；科学技术支出313.22万元，占1.1%；社会保障和就业支出2201.28万元，占7.4%；卫生健康支出240.00万元，占0.8%；住房保障支出2506.97万元，占8.4%。</w:t>
      </w:r>
    </w:p>
    <w:p>
      <w:pPr>
        <w:spacing w:line="520" w:lineRule="exact"/>
        <w:ind w:firstLine="642"/>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3.一般公共预算拨款具体使用情况。</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highlight w:val="none"/>
        </w:rPr>
        <w:t>教育支出（类）普通教育（款）高等教育（项）</w:t>
      </w:r>
      <w:r>
        <w:rPr>
          <w:rFonts w:hint="eastAsia" w:ascii="仿宋_GB2312" w:hAnsi="仿宋_GB2312" w:eastAsia="仿宋_GB2312" w:cs="仿宋_GB2312"/>
          <w:color w:val="000000"/>
          <w:sz w:val="32"/>
          <w:szCs w:val="32"/>
        </w:rPr>
        <w:t>23926.89</w:t>
      </w:r>
      <w:r>
        <w:rPr>
          <w:rFonts w:hint="eastAsia" w:ascii="仿宋_GB2312" w:hAnsi="仿宋_GB2312" w:eastAsia="仿宋_GB2312" w:cs="仿宋_GB2312"/>
          <w:color w:val="000000"/>
          <w:sz w:val="32"/>
          <w:szCs w:val="32"/>
          <w:highlight w:val="none"/>
        </w:rPr>
        <w:t>万元，主要用于人员支出、</w:t>
      </w:r>
      <w:r>
        <w:rPr>
          <w:rFonts w:hint="eastAsia" w:ascii="仿宋_GB2312" w:hAnsi="仿宋_GB2312" w:eastAsia="仿宋_GB2312" w:cs="仿宋_GB2312"/>
          <w:color w:val="000000"/>
          <w:sz w:val="32"/>
          <w:szCs w:val="32"/>
          <w:highlight w:val="none"/>
          <w:lang w:val="en-US" w:eastAsia="zh-CN"/>
        </w:rPr>
        <w:t>高水平应用型大学建设</w:t>
      </w:r>
      <w:r>
        <w:rPr>
          <w:rFonts w:hint="eastAsia" w:ascii="仿宋_GB2312" w:hAnsi="仿宋_GB2312" w:eastAsia="仿宋_GB2312" w:cs="仿宋_GB2312"/>
          <w:color w:val="000000"/>
          <w:sz w:val="32"/>
          <w:szCs w:val="32"/>
          <w:highlight w:val="none"/>
        </w:rPr>
        <w:t>支出、人才队伍建设支出、学生资助支出</w:t>
      </w:r>
      <w:r>
        <w:rPr>
          <w:rFonts w:hint="eastAsia" w:ascii="仿宋_GB2312" w:hAnsi="仿宋_GB2312" w:eastAsia="仿宋_GB2312" w:cs="仿宋_GB2312"/>
          <w:color w:val="000000"/>
          <w:sz w:val="32"/>
          <w:szCs w:val="32"/>
          <w:highlight w:val="none"/>
          <w:lang w:eastAsia="zh-CN"/>
        </w:rPr>
        <w:t>等</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（2）教育支出（类）教育费附加安排的支出（款）其他教育费附加安排的支出（项）</w:t>
      </w:r>
      <w:r>
        <w:rPr>
          <w:rFonts w:hint="eastAsia" w:ascii="仿宋_GB2312" w:hAnsi="仿宋_GB2312" w:eastAsia="仿宋_GB2312" w:cs="仿宋_GB2312"/>
          <w:color w:val="000000"/>
          <w:sz w:val="32"/>
          <w:szCs w:val="32"/>
          <w:highlight w:val="none"/>
          <w:lang w:val="en-US" w:eastAsia="zh-CN"/>
        </w:rPr>
        <w:t>637.62</w:t>
      </w:r>
      <w:r>
        <w:rPr>
          <w:rFonts w:hint="eastAsia" w:ascii="仿宋_GB2312" w:hAnsi="仿宋_GB2312" w:eastAsia="仿宋_GB2312" w:cs="仿宋_GB2312"/>
          <w:color w:val="000000"/>
          <w:sz w:val="32"/>
          <w:szCs w:val="32"/>
          <w:highlight w:val="none"/>
        </w:rPr>
        <w:t>万元，主要用于基础设施维修、师范教育创新工程、</w:t>
      </w:r>
      <w:r>
        <w:rPr>
          <w:rFonts w:hint="eastAsia" w:ascii="仿宋_GB2312" w:hAnsi="仿宋_GB2312" w:eastAsia="仿宋_GB2312" w:cs="仿宋_GB2312"/>
          <w:color w:val="000000"/>
          <w:sz w:val="32"/>
          <w:szCs w:val="32"/>
          <w:highlight w:val="none"/>
          <w:lang w:val="en-US" w:eastAsia="zh-CN"/>
        </w:rPr>
        <w:t>丝路学院建设</w:t>
      </w:r>
      <w:r>
        <w:rPr>
          <w:rFonts w:hint="eastAsia" w:ascii="仿宋_GB2312" w:hAnsi="仿宋_GB2312" w:eastAsia="仿宋_GB2312" w:cs="仿宋_GB2312"/>
          <w:color w:val="000000"/>
          <w:sz w:val="32"/>
          <w:szCs w:val="32"/>
          <w:highlight w:val="none"/>
        </w:rPr>
        <w:t>等项目支出。</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（3）科学技术支出（类）技术研究与开发（款）其他技术研究与开发支出（项）188.20万元，主要用于科技发展专项支出。</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）科学技术支出（类）社会科学（款）社会科学研究（项）</w:t>
      </w:r>
      <w:r>
        <w:rPr>
          <w:rFonts w:hint="eastAsia" w:ascii="仿宋_GB2312" w:hAnsi="仿宋_GB2312" w:eastAsia="仿宋_GB2312" w:cs="仿宋_GB2312"/>
          <w:color w:val="000000"/>
          <w:sz w:val="32"/>
          <w:szCs w:val="32"/>
          <w:highlight w:val="none"/>
          <w:lang w:val="en-US" w:eastAsia="zh-CN"/>
        </w:rPr>
        <w:t>45.02</w:t>
      </w:r>
      <w:r>
        <w:rPr>
          <w:rFonts w:hint="eastAsia" w:ascii="仿宋_GB2312" w:hAnsi="仿宋_GB2312" w:eastAsia="仿宋_GB2312" w:cs="仿宋_GB2312"/>
          <w:color w:val="000000"/>
          <w:sz w:val="32"/>
          <w:szCs w:val="32"/>
          <w:highlight w:val="none"/>
        </w:rPr>
        <w:t>万元，主要用于哲学社会科学研究支出。</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）科学技术支出（类）科技重大项目（款）重点研发计划（项）</w:t>
      </w:r>
      <w:r>
        <w:rPr>
          <w:rFonts w:hint="eastAsia" w:ascii="仿宋_GB2312" w:hAnsi="仿宋_GB2312" w:eastAsia="仿宋_GB2312" w:cs="仿宋_GB2312"/>
          <w:color w:val="000000"/>
          <w:sz w:val="32"/>
          <w:szCs w:val="32"/>
          <w:highlight w:val="none"/>
          <w:lang w:val="en-US" w:eastAsia="zh-CN"/>
        </w:rPr>
        <w:t>80.00</w:t>
      </w:r>
      <w:r>
        <w:rPr>
          <w:rFonts w:hint="eastAsia" w:ascii="仿宋_GB2312" w:hAnsi="仿宋_GB2312" w:eastAsia="仿宋_GB2312" w:cs="仿宋_GB2312"/>
          <w:color w:val="000000"/>
          <w:sz w:val="32"/>
          <w:szCs w:val="32"/>
          <w:highlight w:val="none"/>
        </w:rPr>
        <w:t>万元，主要用于</w:t>
      </w:r>
      <w:r>
        <w:rPr>
          <w:rFonts w:hint="eastAsia" w:ascii="仿宋_GB2312" w:hAnsi="仿宋_GB2312" w:eastAsia="仿宋_GB2312" w:cs="仿宋_GB2312"/>
          <w:color w:val="000000"/>
          <w:sz w:val="32"/>
          <w:szCs w:val="32"/>
          <w:highlight w:val="none"/>
          <w:lang w:eastAsia="zh-CN"/>
        </w:rPr>
        <w:t>科技攻关项目</w:t>
      </w:r>
      <w:r>
        <w:rPr>
          <w:rFonts w:hint="eastAsia" w:ascii="仿宋_GB2312" w:hAnsi="仿宋_GB2312" w:eastAsia="仿宋_GB2312" w:cs="仿宋_GB2312"/>
          <w:color w:val="000000"/>
          <w:sz w:val="32"/>
          <w:szCs w:val="32"/>
          <w:highlight w:val="none"/>
        </w:rPr>
        <w:t>研究支出。</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）社会保障和就业支出（类）行政事业单位养老支出（款）机关事业单位基本养老保险缴费支出（项）1301.28万元，主要用于养老保险缴费。</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）社会保障和就业支出（类）行政事业单位养老支出（款）机关事业单位职业年金缴费支出（项）655.00万元，主要用于职业年金缴费。</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8</w:t>
      </w:r>
      <w:r>
        <w:rPr>
          <w:rFonts w:hint="eastAsia" w:ascii="仿宋_GB2312" w:hAnsi="仿宋_GB2312" w:eastAsia="仿宋_GB2312" w:cs="仿宋_GB2312"/>
          <w:color w:val="000000"/>
          <w:sz w:val="32"/>
          <w:szCs w:val="32"/>
          <w:highlight w:val="none"/>
        </w:rPr>
        <w:t>）社会保障和就业支出（类）行政事业单位养老支出（款）其他行政事业单位养老支出（项）</w:t>
      </w:r>
      <w:r>
        <w:rPr>
          <w:rFonts w:hint="eastAsia" w:ascii="仿宋_GB2312" w:hAnsi="仿宋_GB2312" w:eastAsia="仿宋_GB2312" w:cs="仿宋_GB2312"/>
          <w:color w:val="000000"/>
          <w:sz w:val="32"/>
          <w:szCs w:val="32"/>
          <w:highlight w:val="none"/>
          <w:lang w:val="en-US" w:eastAsia="zh-CN"/>
        </w:rPr>
        <w:t>245.00</w:t>
      </w:r>
      <w:r>
        <w:rPr>
          <w:rFonts w:hint="eastAsia" w:ascii="仿宋_GB2312" w:hAnsi="仿宋_GB2312" w:eastAsia="仿宋_GB2312" w:cs="仿宋_GB2312"/>
          <w:color w:val="000000"/>
          <w:sz w:val="32"/>
          <w:szCs w:val="32"/>
          <w:highlight w:val="none"/>
        </w:rPr>
        <w:t>万元，主要用于离退休人员相关支出。</w:t>
      </w:r>
    </w:p>
    <w:p>
      <w:pPr>
        <w:pStyle w:val="2"/>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rPr>
        <w:t>）卫生健康支出（类）行政事业单位医疗（款）其他行政事业单位医疗支出（项）</w:t>
      </w:r>
      <w:r>
        <w:rPr>
          <w:rFonts w:hint="eastAsia" w:cs="仿宋_GB2312"/>
          <w:color w:val="000000"/>
          <w:sz w:val="32"/>
          <w:szCs w:val="32"/>
          <w:highlight w:val="none"/>
          <w:lang w:val="en-US" w:eastAsia="zh-CN"/>
        </w:rPr>
        <w:t>240.0</w:t>
      </w:r>
      <w:r>
        <w:rPr>
          <w:rFonts w:hint="eastAsia" w:ascii="仿宋_GB2312" w:hAnsi="仿宋_GB2312" w:eastAsia="仿宋_GB2312" w:cs="仿宋_GB2312"/>
          <w:color w:val="000000"/>
          <w:sz w:val="32"/>
          <w:szCs w:val="32"/>
          <w:highlight w:val="none"/>
        </w:rPr>
        <w:t>0万元，主要用于医疗补助缴费</w:t>
      </w:r>
      <w:r>
        <w:rPr>
          <w:rFonts w:hint="eastAsia" w:cs="仿宋_GB2312"/>
          <w:color w:val="000000"/>
          <w:sz w:val="32"/>
          <w:szCs w:val="32"/>
          <w:highlight w:val="none"/>
          <w:lang w:val="en-US" w:eastAsia="zh-CN"/>
        </w:rPr>
        <w:t>支出</w:t>
      </w:r>
      <w:r>
        <w:rPr>
          <w:rFonts w:hint="eastAsia" w:ascii="仿宋_GB2312" w:hAnsi="仿宋_GB2312" w:eastAsia="仿宋_GB2312" w:cs="仿宋_GB2312"/>
          <w:color w:val="000000"/>
          <w:sz w:val="32"/>
          <w:szCs w:val="32"/>
          <w:highlight w:val="none"/>
        </w:rPr>
        <w:t>。</w:t>
      </w:r>
    </w:p>
    <w:p>
      <w:pPr>
        <w:pStyle w:val="2"/>
        <w:keepNext w:val="0"/>
        <w:keepLines w:val="0"/>
        <w:pageBreakBefore w:val="0"/>
        <w:widowControl w:val="0"/>
        <w:kinsoku/>
        <w:wordWrap/>
        <w:overflowPunct/>
        <w:topLinePunct w:val="0"/>
        <w:bidi w:val="0"/>
        <w:snapToGrid/>
        <w:spacing w:line="520" w:lineRule="exact"/>
        <w:ind w:firstLine="640" w:firstLineChars="200"/>
        <w:textAlignment w:val="auto"/>
        <w:rPr>
          <w:rFonts w:ascii="楷体_GB2312" w:hAnsi="楷体_GB2312" w:eastAsia="楷体_GB2312" w:cs="楷体_GB2312"/>
          <w:bCs/>
          <w:color w:val="000000"/>
          <w:sz w:val="32"/>
          <w:szCs w:val="32"/>
        </w:rPr>
      </w:pPr>
      <w:r>
        <w:rPr>
          <w:rFonts w:hint="eastAsia" w:ascii="仿宋_GB2312" w:hAnsi="仿宋_GB2312" w:eastAsia="仿宋_GB2312" w:cs="仿宋_GB2312"/>
          <w:color w:val="000000"/>
          <w:sz w:val="32"/>
          <w:szCs w:val="32"/>
          <w:highlight w:val="none"/>
        </w:rPr>
        <w:t>（</w:t>
      </w:r>
      <w:r>
        <w:rPr>
          <w:rFonts w:hint="eastAsia" w:cs="仿宋_GB2312"/>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rPr>
        <w:t>）住房保障支出（类）住房改革支出（款）住房公积金（项）2506.97万元，主要用于住房公积金支出。</w:t>
      </w:r>
    </w:p>
    <w:p>
      <w:pPr>
        <w:spacing w:line="520" w:lineRule="exact"/>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 xml:space="preserve">    （六）关于衢州学院</w:t>
      </w:r>
      <w:r>
        <w:rPr>
          <w:rFonts w:hint="eastAsia" w:ascii="楷体_GB2312" w:hAnsi="楷体_GB2312" w:eastAsia="楷体_GB2312" w:cs="楷体_GB2312"/>
          <w:bCs/>
          <w:color w:val="000000"/>
          <w:sz w:val="32"/>
          <w:szCs w:val="32"/>
          <w:lang w:eastAsia="zh-CN"/>
        </w:rPr>
        <w:t>2026年</w:t>
      </w:r>
      <w:r>
        <w:rPr>
          <w:rFonts w:hint="eastAsia" w:ascii="楷体_GB2312" w:hAnsi="楷体_GB2312" w:eastAsia="楷体_GB2312" w:cs="楷体_GB2312"/>
          <w:bCs/>
          <w:color w:val="000000"/>
          <w:sz w:val="32"/>
          <w:szCs w:val="32"/>
        </w:rPr>
        <w:t>一般公共预算基本支出情况说明</w:t>
      </w:r>
    </w:p>
    <w:p>
      <w:pPr>
        <w:spacing w:line="520" w:lineRule="exact"/>
        <w:ind w:firstLine="642"/>
        <w:rPr>
          <w:rFonts w:ascii="仿宋_GB2312" w:eastAsia="仿宋_GB2312"/>
          <w:color w:val="000000"/>
          <w:sz w:val="32"/>
          <w:szCs w:val="32"/>
          <w:highlight w:val="none"/>
        </w:rPr>
      </w:pPr>
      <w:r>
        <w:rPr>
          <w:rFonts w:hint="eastAsia" w:ascii="仿宋_GB2312" w:eastAsia="仿宋_GB2312"/>
          <w:color w:val="000000"/>
          <w:sz w:val="32"/>
          <w:szCs w:val="32"/>
          <w:highlight w:val="none"/>
        </w:rPr>
        <w:t>衢州学院</w:t>
      </w:r>
      <w:r>
        <w:rPr>
          <w:rFonts w:hint="eastAsia" w:ascii="仿宋_GB2312" w:eastAsia="仿宋_GB2312"/>
          <w:color w:val="000000"/>
          <w:sz w:val="32"/>
          <w:szCs w:val="32"/>
          <w:highlight w:val="none"/>
          <w:lang w:eastAsia="zh-CN"/>
        </w:rPr>
        <w:t>2026年</w:t>
      </w:r>
      <w:r>
        <w:rPr>
          <w:rFonts w:hint="eastAsia" w:ascii="仿宋_GB2312" w:eastAsia="仿宋_GB2312"/>
          <w:color w:val="000000"/>
          <w:sz w:val="32"/>
          <w:szCs w:val="32"/>
          <w:highlight w:val="none"/>
        </w:rPr>
        <w:t>一般公共预算基本支出24957.75万元，其中：</w:t>
      </w:r>
    </w:p>
    <w:p>
      <w:pPr>
        <w:spacing w:line="520" w:lineRule="exact"/>
        <w:ind w:firstLine="642"/>
        <w:rPr>
          <w:rFonts w:ascii="仿宋_GB2312" w:eastAsia="仿宋_GB2312"/>
          <w:color w:val="000000"/>
          <w:sz w:val="32"/>
          <w:szCs w:val="32"/>
        </w:rPr>
      </w:pPr>
      <w:r>
        <w:rPr>
          <w:rFonts w:hint="eastAsia" w:ascii="仿宋_GB2312" w:eastAsia="仿宋_GB2312"/>
          <w:color w:val="000000"/>
          <w:sz w:val="32"/>
          <w:szCs w:val="32"/>
        </w:rPr>
        <w:t>人员</w:t>
      </w:r>
      <w:r>
        <w:rPr>
          <w:rFonts w:hint="eastAsia" w:ascii="仿宋_GB2312" w:eastAsia="仿宋_GB2312"/>
          <w:color w:val="000000"/>
          <w:sz w:val="32"/>
          <w:szCs w:val="32"/>
          <w:lang w:val="en-US" w:eastAsia="zh-CN"/>
        </w:rPr>
        <w:t>支出</w:t>
      </w:r>
      <w:r>
        <w:rPr>
          <w:rFonts w:hint="eastAsia" w:ascii="仿宋_GB2312" w:eastAsia="仿宋_GB2312"/>
          <w:color w:val="000000"/>
          <w:sz w:val="32"/>
          <w:szCs w:val="32"/>
        </w:rPr>
        <w:t>24197.75万元，主要包括：基本工资、绩效工资、机关事业单位基本养老保险缴费、职业年金缴费、职工基本医疗保险缴费、公务员医疗补助缴费、其他社会保障缴费、住房公积金、生活补助、其他对个人和家庭的补助；</w:t>
      </w:r>
    </w:p>
    <w:p>
      <w:pPr>
        <w:spacing w:line="520" w:lineRule="exact"/>
        <w:ind w:firstLine="642"/>
        <w:rPr>
          <w:rFonts w:ascii="仿宋_GB2312" w:eastAsia="仿宋_GB2312"/>
          <w:color w:val="000000"/>
          <w:sz w:val="32"/>
          <w:szCs w:val="32"/>
        </w:rPr>
      </w:pPr>
      <w:r>
        <w:rPr>
          <w:rFonts w:hint="eastAsia" w:ascii="仿宋_GB2312" w:eastAsia="仿宋_GB2312"/>
          <w:color w:val="000000"/>
          <w:sz w:val="32"/>
          <w:szCs w:val="32"/>
          <w:lang w:val="en-US" w:eastAsia="zh-CN"/>
        </w:rPr>
        <w:t>日常</w:t>
      </w:r>
      <w:r>
        <w:rPr>
          <w:rFonts w:hint="eastAsia" w:ascii="仿宋_GB2312" w:eastAsia="仿宋_GB2312"/>
          <w:color w:val="000000"/>
          <w:sz w:val="32"/>
          <w:szCs w:val="32"/>
        </w:rPr>
        <w:t>公用</w:t>
      </w:r>
      <w:r>
        <w:rPr>
          <w:rFonts w:hint="eastAsia" w:ascii="仿宋_GB2312" w:eastAsia="仿宋_GB2312"/>
          <w:color w:val="000000"/>
          <w:sz w:val="32"/>
          <w:szCs w:val="32"/>
          <w:lang w:val="en-US" w:eastAsia="zh-CN"/>
        </w:rPr>
        <w:t>支出</w:t>
      </w:r>
      <w:r>
        <w:rPr>
          <w:rFonts w:hint="eastAsia" w:ascii="仿宋_GB2312" w:eastAsia="仿宋_GB2312"/>
          <w:color w:val="000000"/>
          <w:sz w:val="32"/>
          <w:szCs w:val="32"/>
        </w:rPr>
        <w:t>760.00万元，主要包括：工会经费、其他商品和服务支出。</w:t>
      </w:r>
    </w:p>
    <w:p>
      <w:pPr>
        <w:spacing w:line="520" w:lineRule="exact"/>
        <w:ind w:firstLine="642"/>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（七）关于衢州学院</w:t>
      </w:r>
      <w:r>
        <w:rPr>
          <w:rFonts w:hint="eastAsia" w:ascii="楷体_GB2312" w:hAnsi="楷体_GB2312" w:eastAsia="楷体_GB2312" w:cs="楷体_GB2312"/>
          <w:bCs/>
          <w:color w:val="000000"/>
          <w:sz w:val="32"/>
          <w:szCs w:val="32"/>
          <w:lang w:eastAsia="zh-CN"/>
        </w:rPr>
        <w:t>2026年</w:t>
      </w:r>
      <w:r>
        <w:rPr>
          <w:rFonts w:hint="eastAsia" w:ascii="楷体_GB2312" w:hAnsi="楷体_GB2312" w:eastAsia="楷体_GB2312" w:cs="楷体_GB2312"/>
          <w:bCs/>
          <w:color w:val="000000"/>
          <w:sz w:val="32"/>
          <w:szCs w:val="32"/>
        </w:rPr>
        <w:t>政府性基金预算支出情况说明</w:t>
      </w:r>
    </w:p>
    <w:p>
      <w:pPr>
        <w:spacing w:line="520" w:lineRule="exact"/>
        <w:ind w:firstLine="642"/>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1.政府性基金预算拨款规模变化情况。</w:t>
      </w:r>
    </w:p>
    <w:p>
      <w:pPr>
        <w:spacing w:line="520" w:lineRule="exact"/>
        <w:ind w:firstLine="642"/>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衢州学院</w:t>
      </w:r>
      <w:r>
        <w:rPr>
          <w:rFonts w:hint="eastAsia" w:ascii="仿宋_GB2312" w:hAnsi="仿宋_GB2312" w:eastAsia="仿宋_GB2312" w:cs="仿宋_GB2312"/>
          <w:color w:val="000000"/>
          <w:sz w:val="32"/>
          <w:szCs w:val="32"/>
          <w:highlight w:val="none"/>
          <w:lang w:eastAsia="zh-CN"/>
        </w:rPr>
        <w:t>2026年</w:t>
      </w:r>
      <w:r>
        <w:rPr>
          <w:rFonts w:hint="eastAsia" w:ascii="仿宋_GB2312" w:hAnsi="仿宋_GB2312" w:eastAsia="仿宋_GB2312" w:cs="仿宋_GB2312"/>
          <w:color w:val="000000"/>
          <w:sz w:val="32"/>
          <w:szCs w:val="32"/>
          <w:highlight w:val="none"/>
        </w:rPr>
        <w:t>政府性基金预算拨款6306.00万元，比</w:t>
      </w:r>
      <w:r>
        <w:rPr>
          <w:rFonts w:hint="eastAsia" w:ascii="仿宋_GB2312" w:hAnsi="仿宋_GB2312" w:eastAsia="仿宋_GB2312" w:cs="仿宋_GB2312"/>
          <w:color w:val="000000"/>
          <w:sz w:val="32"/>
          <w:szCs w:val="32"/>
          <w:highlight w:val="none"/>
          <w:lang w:val="en-US" w:eastAsia="zh-CN"/>
        </w:rPr>
        <w:t>上</w:t>
      </w:r>
      <w:r>
        <w:rPr>
          <w:rFonts w:hint="eastAsia" w:ascii="仿宋_GB2312" w:hAnsi="仿宋_GB2312" w:eastAsia="仿宋_GB2312" w:cs="仿宋_GB2312"/>
          <w:color w:val="000000"/>
          <w:sz w:val="32"/>
          <w:szCs w:val="32"/>
          <w:highlight w:val="none"/>
        </w:rPr>
        <w:t>年执行数减少</w:t>
      </w:r>
      <w:r>
        <w:rPr>
          <w:rFonts w:hint="eastAsia" w:ascii="仿宋_GB2312" w:hAnsi="仿宋_GB2312" w:eastAsia="仿宋_GB2312" w:cs="仿宋_GB2312"/>
          <w:color w:val="000000"/>
          <w:sz w:val="32"/>
          <w:szCs w:val="32"/>
          <w:highlight w:val="none"/>
          <w:lang w:val="en-US" w:eastAsia="zh-CN"/>
        </w:rPr>
        <w:t>4303.17</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highlight w:val="none"/>
        </w:rPr>
        <w:t>下降</w:t>
      </w:r>
      <w:r>
        <w:rPr>
          <w:rFonts w:hint="eastAsia" w:ascii="仿宋_GB2312" w:hAnsi="仿宋_GB2312" w:eastAsia="仿宋_GB2312" w:cs="仿宋_GB2312"/>
          <w:color w:val="000000"/>
          <w:sz w:val="32"/>
          <w:highlight w:val="none"/>
          <w:lang w:val="en-US" w:eastAsia="zh-CN"/>
        </w:rPr>
        <w:t>40.6</w:t>
      </w:r>
      <w:r>
        <w:rPr>
          <w:rFonts w:hint="eastAsia" w:ascii="仿宋_GB2312" w:hAnsi="仿宋_GB2312" w:eastAsia="仿宋_GB2312" w:cs="仿宋_GB2312"/>
          <w:color w:val="000000"/>
          <w:sz w:val="32"/>
          <w:highlight w:val="none"/>
        </w:rPr>
        <w:t>%，</w:t>
      </w:r>
      <w:r>
        <w:rPr>
          <w:rFonts w:hint="eastAsia" w:ascii="仿宋_GB2312" w:hAnsi="仿宋_GB2312" w:eastAsia="仿宋_GB2312" w:cs="仿宋_GB2312"/>
          <w:color w:val="000000"/>
          <w:sz w:val="32"/>
          <w:szCs w:val="32"/>
          <w:highlight w:val="none"/>
        </w:rPr>
        <w:t>主要是</w:t>
      </w:r>
      <w:r>
        <w:rPr>
          <w:rFonts w:hint="eastAsia" w:ascii="仿宋_GB2312" w:hAnsi="仿宋_GB2312" w:eastAsia="仿宋_GB2312" w:cs="仿宋_GB2312"/>
          <w:color w:val="000000"/>
          <w:sz w:val="32"/>
          <w:szCs w:val="32"/>
          <w:highlight w:val="none"/>
          <w:lang w:eastAsia="zh-CN"/>
        </w:rPr>
        <w:t>专项债资金未下达，需待年中追加</w:t>
      </w:r>
      <w:r>
        <w:rPr>
          <w:rFonts w:hint="eastAsia" w:ascii="仿宋_GB2312" w:hAnsi="仿宋_GB2312" w:eastAsia="仿宋_GB2312" w:cs="仿宋_GB2312"/>
          <w:color w:val="000000"/>
          <w:sz w:val="32"/>
          <w:szCs w:val="32"/>
          <w:highlight w:val="none"/>
        </w:rPr>
        <w:t>。</w:t>
      </w:r>
    </w:p>
    <w:p>
      <w:pPr>
        <w:spacing w:line="520" w:lineRule="exact"/>
        <w:ind w:firstLine="642"/>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2.政府性基金预算拨款结构情况。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城乡社区支出6306.00万元，占100.0%。</w:t>
      </w:r>
    </w:p>
    <w:p>
      <w:pPr>
        <w:spacing w:line="52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3.政府性基金预算拨款具体使用情况。</w:t>
      </w:r>
    </w:p>
    <w:p>
      <w:pPr>
        <w:spacing w:line="52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城乡社区支出（类）国有土地使用权出让收入安排的支出（款）城市建设支出（项）</w:t>
      </w:r>
      <w:r>
        <w:rPr>
          <w:rFonts w:hint="eastAsia" w:ascii="仿宋_GB2312" w:hAnsi="仿宋_GB2312" w:eastAsia="仿宋_GB2312" w:cs="仿宋_GB2312"/>
          <w:color w:val="000000"/>
          <w:sz w:val="32"/>
          <w:szCs w:val="32"/>
        </w:rPr>
        <w:t>6306.00</w:t>
      </w:r>
      <w:r>
        <w:rPr>
          <w:rFonts w:hint="eastAsia" w:ascii="仿宋_GB2312" w:hAnsi="仿宋_GB2312" w:eastAsia="仿宋_GB2312" w:cs="仿宋_GB2312"/>
          <w:color w:val="000000"/>
          <w:sz w:val="32"/>
          <w:szCs w:val="32"/>
          <w:highlight w:val="none"/>
        </w:rPr>
        <w:t>万元，主要用于</w:t>
      </w:r>
      <w:r>
        <w:rPr>
          <w:rFonts w:hint="eastAsia" w:ascii="仿宋_GB2312" w:hAnsi="仿宋_GB2312" w:eastAsia="仿宋_GB2312" w:cs="仿宋_GB2312"/>
          <w:color w:val="000000"/>
          <w:sz w:val="32"/>
          <w:szCs w:val="32"/>
          <w:highlight w:val="none"/>
          <w:lang w:eastAsia="zh-CN"/>
        </w:rPr>
        <w:t>衢州氟硅钴新材料绿色制造训研创基地</w:t>
      </w:r>
      <w:r>
        <w:rPr>
          <w:rFonts w:hint="eastAsia" w:ascii="仿宋_GB2312" w:hAnsi="仿宋_GB2312" w:eastAsia="仿宋_GB2312" w:cs="仿宋_GB2312"/>
          <w:color w:val="000000"/>
          <w:sz w:val="32"/>
          <w:szCs w:val="32"/>
          <w:highlight w:val="none"/>
          <w:lang w:val="en-US" w:eastAsia="zh-CN"/>
        </w:rPr>
        <w:t>建设</w:t>
      </w:r>
      <w:r>
        <w:rPr>
          <w:rFonts w:hint="eastAsia" w:ascii="仿宋_GB2312" w:hAnsi="仿宋_GB2312" w:eastAsia="仿宋_GB2312" w:cs="仿宋_GB2312"/>
          <w:color w:val="000000"/>
          <w:sz w:val="32"/>
          <w:szCs w:val="32"/>
        </w:rPr>
        <w:t>。</w:t>
      </w:r>
    </w:p>
    <w:p>
      <w:pPr>
        <w:spacing w:line="520" w:lineRule="exact"/>
        <w:ind w:firstLine="627" w:firstLineChars="196"/>
        <w:rPr>
          <w:rFonts w:ascii="楷体_GB2312" w:hAnsi="楷体_GB2312" w:eastAsia="楷体_GB2312" w:cs="楷体_GB2312"/>
          <w:bCs/>
          <w:color w:val="000000"/>
          <w:sz w:val="32"/>
          <w:szCs w:val="32"/>
          <w:highlight w:val="none"/>
        </w:rPr>
      </w:pPr>
      <w:r>
        <w:rPr>
          <w:rFonts w:hint="eastAsia" w:ascii="楷体_GB2312" w:hAnsi="楷体_GB2312" w:eastAsia="楷体_GB2312" w:cs="楷体_GB2312"/>
          <w:bCs/>
          <w:color w:val="000000"/>
          <w:sz w:val="32"/>
          <w:szCs w:val="32"/>
          <w:highlight w:val="none"/>
        </w:rPr>
        <w:t>（八）关于</w:t>
      </w:r>
      <w:r>
        <w:rPr>
          <w:rFonts w:ascii="楷体_GB2312" w:hAnsi="楷体_GB2312" w:eastAsia="楷体_GB2312" w:cs="楷体_GB2312"/>
          <w:bCs/>
          <w:color w:val="000000"/>
          <w:sz w:val="32"/>
          <w:szCs w:val="32"/>
          <w:highlight w:val="none"/>
        </w:rPr>
        <w:t>衢州学院</w:t>
      </w:r>
      <w:r>
        <w:rPr>
          <w:rFonts w:hint="eastAsia" w:ascii="楷体_GB2312" w:hAnsi="楷体_GB2312" w:eastAsia="楷体_GB2312" w:cs="楷体_GB2312"/>
          <w:bCs/>
          <w:color w:val="000000"/>
          <w:sz w:val="32"/>
          <w:szCs w:val="32"/>
          <w:highlight w:val="none"/>
          <w:lang w:eastAsia="zh-CN"/>
        </w:rPr>
        <w:t>2026年</w:t>
      </w:r>
      <w:r>
        <w:rPr>
          <w:rFonts w:hint="eastAsia" w:ascii="楷体_GB2312" w:hAnsi="楷体_GB2312" w:eastAsia="楷体_GB2312" w:cs="楷体_GB2312"/>
          <w:bCs/>
          <w:color w:val="000000"/>
          <w:sz w:val="32"/>
          <w:szCs w:val="32"/>
          <w:highlight w:val="none"/>
        </w:rPr>
        <w:t>国有资本经营预算支出情况说明</w:t>
      </w:r>
    </w:p>
    <w:p>
      <w:pPr>
        <w:spacing w:line="520" w:lineRule="exact"/>
        <w:ind w:firstLine="642"/>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2026年</w:t>
      </w:r>
      <w:r>
        <w:rPr>
          <w:rFonts w:hint="eastAsia" w:ascii="仿宋_GB2312" w:hAnsi="仿宋_GB2312" w:eastAsia="仿宋_GB2312" w:cs="仿宋_GB2312"/>
          <w:color w:val="000000"/>
          <w:sz w:val="32"/>
          <w:szCs w:val="32"/>
          <w:highlight w:val="none"/>
        </w:rPr>
        <w:t>没有使用国有资本经营预算拨款安排的支出，与上年持平。</w:t>
      </w:r>
    </w:p>
    <w:p>
      <w:pPr>
        <w:spacing w:line="520" w:lineRule="exact"/>
        <w:ind w:firstLine="627" w:firstLineChars="196"/>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（九）关于衢州学院</w:t>
      </w:r>
      <w:r>
        <w:rPr>
          <w:rFonts w:hint="eastAsia" w:ascii="楷体_GB2312" w:hAnsi="楷体_GB2312" w:eastAsia="楷体_GB2312" w:cs="楷体_GB2312"/>
          <w:bCs/>
          <w:color w:val="000000"/>
          <w:sz w:val="32"/>
          <w:szCs w:val="32"/>
          <w:lang w:eastAsia="zh-CN"/>
        </w:rPr>
        <w:t>2026年</w:t>
      </w:r>
      <w:r>
        <w:rPr>
          <w:rFonts w:hint="eastAsia" w:ascii="楷体_GB2312" w:hAnsi="楷体_GB2312" w:eastAsia="楷体_GB2312" w:cs="楷体_GB2312"/>
          <w:bCs/>
          <w:sz w:val="32"/>
          <w:szCs w:val="32"/>
        </w:rPr>
        <w:t>一般公共预算</w:t>
      </w:r>
      <w:r>
        <w:rPr>
          <w:rFonts w:hint="eastAsia" w:ascii="楷体_GB2312" w:hAnsi="楷体_GB2312" w:eastAsia="楷体_GB2312" w:cs="楷体_GB2312"/>
          <w:bCs/>
          <w:color w:val="000000"/>
          <w:sz w:val="32"/>
          <w:szCs w:val="32"/>
        </w:rPr>
        <w:t>“三公”经费预算情况说明</w:t>
      </w:r>
    </w:p>
    <w:p>
      <w:pPr>
        <w:keepNext w:val="0"/>
        <w:keepLines w:val="0"/>
        <w:pageBreakBefore w:val="0"/>
        <w:kinsoku/>
        <w:wordWrap/>
        <w:overflowPunct/>
        <w:topLinePunct w:val="0"/>
        <w:bidi w:val="0"/>
        <w:snapToGrid/>
        <w:spacing w:line="520" w:lineRule="exact"/>
        <w:ind w:firstLine="640" w:firstLineChars="200"/>
        <w:textAlignment w:val="auto"/>
        <w:rPr>
          <w:rFonts w:ascii="仿宋_GB2312" w:hAnsi="仿宋_GB2312" w:eastAsia="仿宋_GB2312"/>
          <w:sz w:val="32"/>
          <w:highlight w:val="none"/>
        </w:rPr>
      </w:pPr>
      <w:r>
        <w:rPr>
          <w:rFonts w:hint="eastAsia" w:ascii="仿宋_GB2312" w:hAnsi="仿宋_GB2312" w:eastAsia="仿宋_GB2312"/>
          <w:sz w:val="32"/>
        </w:rPr>
        <w:t>衢州学院</w:t>
      </w:r>
      <w:r>
        <w:rPr>
          <w:rFonts w:hint="eastAsia" w:ascii="仿宋_GB2312" w:hAnsi="仿宋_GB2312" w:eastAsia="仿宋_GB2312"/>
          <w:sz w:val="32"/>
          <w:lang w:eastAsia="zh-CN"/>
        </w:rPr>
        <w:t>2026年</w:t>
      </w:r>
      <w:r>
        <w:rPr>
          <w:rFonts w:hint="eastAsia" w:ascii="仿宋_GB2312" w:hAnsi="仿宋_GB2312" w:eastAsia="仿宋_GB2312"/>
          <w:sz w:val="32"/>
        </w:rPr>
        <w:t>“三公”经费预算数为0.00万元</w:t>
      </w:r>
      <w:r>
        <w:rPr>
          <w:rFonts w:hint="eastAsia" w:ascii="仿宋_GB2312" w:hAnsi="仿宋_GB2312" w:eastAsia="仿宋_GB2312"/>
          <w:sz w:val="32"/>
          <w:highlight w:val="none"/>
          <w:shd w:val="clear" w:color="auto" w:fill="FFFFFF"/>
        </w:rPr>
        <w:t>，与上年预算数持平，</w:t>
      </w:r>
      <w:r>
        <w:rPr>
          <w:rFonts w:hint="eastAsia" w:ascii="仿宋_GB2312" w:hAnsi="仿宋_GB2312" w:eastAsia="仿宋_GB2312"/>
          <w:sz w:val="32"/>
          <w:highlight w:val="none"/>
        </w:rPr>
        <w:t>具体如下：</w:t>
      </w:r>
    </w:p>
    <w:p>
      <w:pPr>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1.因公出国（境）费用：</w:t>
      </w:r>
      <w:r>
        <w:rPr>
          <w:rFonts w:hint="eastAsia" w:ascii="仿宋_GB2312" w:hAnsi="仿宋_GB2312" w:eastAsia="仿宋_GB2312" w:cs="仿宋_GB2312"/>
          <w:sz w:val="32"/>
          <w:szCs w:val="32"/>
        </w:rPr>
        <w:t>根据因公出国计划和实际工作需要，</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安排因公出国（境）费用预算0.00万元</w:t>
      </w:r>
      <w:r>
        <w:rPr>
          <w:rFonts w:hint="eastAsia" w:ascii="仿宋_GB2312" w:hAnsi="仿宋_GB2312" w:eastAsia="仿宋_GB2312" w:cs="仿宋_GB2312"/>
          <w:sz w:val="32"/>
          <w:szCs w:val="32"/>
          <w:highlight w:val="none"/>
        </w:rPr>
        <w:t>（不含教学科研人员学术交流因公出国（境）费用），与上年预算数持平。主要原因是本年与上年均未安排预算。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2.公务接待费：</w:t>
      </w: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安排公务接待费预算0.00万元</w:t>
      </w:r>
      <w:r>
        <w:rPr>
          <w:rFonts w:hint="eastAsia" w:ascii="仿宋_GB2312" w:hAnsi="仿宋_GB2312" w:eastAsia="仿宋_GB2312" w:cs="仿宋_GB2312"/>
          <w:sz w:val="32"/>
          <w:szCs w:val="32"/>
          <w:highlight w:val="none"/>
        </w:rPr>
        <w:t>，与上年预算数持平。主要原因是本年与上年均未安排预算。</w:t>
      </w:r>
    </w:p>
    <w:p>
      <w:pPr>
        <w:pStyle w:val="14"/>
        <w:spacing w:line="520" w:lineRule="exact"/>
        <w:ind w:firstLine="640" w:firstLineChars="200"/>
        <w:rPr>
          <w:rFonts w:ascii="仿宋_GB2312" w:eastAsia="仿宋_GB2312"/>
          <w:b/>
          <w:bCs/>
          <w:sz w:val="32"/>
          <w:szCs w:val="32"/>
        </w:rPr>
      </w:pPr>
      <w:r>
        <w:rPr>
          <w:rFonts w:hint="eastAsia" w:ascii="仿宋_GB2312" w:eastAsia="仿宋_GB2312"/>
          <w:sz w:val="32"/>
          <w:szCs w:val="32"/>
        </w:rPr>
        <w:t>3.公务用车购置及运行维护费：</w:t>
      </w:r>
      <w:r>
        <w:rPr>
          <w:rFonts w:hint="eastAsia" w:ascii="仿宋_GB2312" w:eastAsia="仿宋_GB2312"/>
          <w:sz w:val="32"/>
          <w:szCs w:val="32"/>
          <w:lang w:eastAsia="zh-CN"/>
        </w:rPr>
        <w:t>2026年</w:t>
      </w:r>
      <w:r>
        <w:rPr>
          <w:rFonts w:hint="eastAsia" w:ascii="仿宋_GB2312" w:eastAsia="仿宋_GB2312"/>
          <w:sz w:val="32"/>
          <w:szCs w:val="32"/>
        </w:rPr>
        <w:t>安排公务用车购置及运行维护费预算0.00万元</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与上年预算数持平。其中，公务用车购置支出0.00万元（含购置税等附加费用）</w:t>
      </w:r>
      <w:r>
        <w:rPr>
          <w:rFonts w:hint="eastAsia" w:ascii="仿宋_GB2312" w:eastAsia="仿宋_GB2312"/>
          <w:sz w:val="32"/>
          <w:szCs w:val="32"/>
          <w:highlight w:val="none"/>
        </w:rPr>
        <w:t>，与上年预算数持平，主要原因是本年与上年均未安排预算；公务用车运行维护费支出0.00万元</w:t>
      </w:r>
      <w:r>
        <w:rPr>
          <w:rFonts w:hint="eastAsia" w:ascii="仿宋_GB2312" w:eastAsia="仿宋_GB2312"/>
          <w:sz w:val="32"/>
          <w:szCs w:val="32"/>
          <w:highlight w:val="none"/>
        </w:rPr>
        <w:t>，与上年预算数持平，主要原因是本年与上年均未安排预算。</w:t>
      </w:r>
    </w:p>
    <w:p>
      <w:pPr>
        <w:spacing w:line="520" w:lineRule="exact"/>
        <w:ind w:firstLine="627" w:firstLineChars="196"/>
        <w:rPr>
          <w:rFonts w:ascii="仿宋_GB2312" w:eastAsia="仿宋_GB2312"/>
          <w:sz w:val="32"/>
          <w:szCs w:val="32"/>
        </w:rPr>
      </w:pPr>
      <w:r>
        <w:rPr>
          <w:rFonts w:hint="eastAsia" w:ascii="楷体_GB2312" w:hAnsi="楷体_GB2312" w:eastAsia="楷体_GB2312" w:cs="楷体_GB2312"/>
          <w:bCs/>
          <w:sz w:val="32"/>
          <w:szCs w:val="32"/>
        </w:rPr>
        <w:t>（十）其他重要事项的情况说明</w:t>
      </w:r>
    </w:p>
    <w:p>
      <w:pPr>
        <w:pStyle w:val="14"/>
        <w:numPr>
          <w:numId w:val="0"/>
        </w:numPr>
        <w:spacing w:line="520" w:lineRule="exact"/>
        <w:ind w:firstLine="643" w:firstLineChars="200"/>
        <w:rPr>
          <w:rFonts w:ascii="仿宋_GB2312" w:eastAsia="仿宋_GB2312"/>
          <w:b/>
          <w:bCs/>
          <w:sz w:val="32"/>
          <w:szCs w:val="32"/>
        </w:rPr>
      </w:pPr>
      <w:r>
        <w:rPr>
          <w:rFonts w:hint="eastAsia" w:ascii="仿宋_GB2312" w:eastAsia="仿宋_GB2312"/>
          <w:b/>
          <w:bCs/>
          <w:sz w:val="32"/>
          <w:szCs w:val="32"/>
          <w:lang w:val="en-US" w:eastAsia="zh-CN"/>
        </w:rPr>
        <w:t>1.</w:t>
      </w:r>
      <w:r>
        <w:rPr>
          <w:rFonts w:hint="eastAsia" w:ascii="仿宋_GB2312" w:eastAsia="仿宋_GB2312"/>
          <w:b/>
          <w:bCs/>
          <w:sz w:val="32"/>
          <w:szCs w:val="32"/>
        </w:rPr>
        <w:t>政府采购情况。</w:t>
      </w:r>
    </w:p>
    <w:p>
      <w:pPr>
        <w:pStyle w:val="14"/>
        <w:spacing w:line="520" w:lineRule="exact"/>
        <w:ind w:firstLine="640" w:firstLineChars="200"/>
        <w:rPr>
          <w:rFonts w:ascii="仿宋_GB2312" w:eastAsia="仿宋_GB2312"/>
          <w:sz w:val="32"/>
          <w:szCs w:val="32"/>
        </w:rPr>
      </w:pPr>
      <w:r>
        <w:rPr>
          <w:rFonts w:hint="eastAsia" w:ascii="仿宋_GB2312" w:eastAsia="仿宋_GB2312"/>
          <w:sz w:val="32"/>
          <w:szCs w:val="32"/>
          <w:lang w:eastAsia="zh-CN"/>
        </w:rPr>
        <w:t>2026年</w:t>
      </w:r>
      <w:r>
        <w:rPr>
          <w:rFonts w:hint="eastAsia" w:ascii="仿宋_GB2312" w:eastAsia="仿宋_GB2312"/>
          <w:sz w:val="32"/>
          <w:szCs w:val="32"/>
        </w:rPr>
        <w:t>衢州学院</w:t>
      </w:r>
      <w:r>
        <w:rPr>
          <w:rFonts w:hint="eastAsia" w:ascii="仿宋_GB2312" w:eastAsia="仿宋_GB2312"/>
          <w:color w:val="000000"/>
          <w:sz w:val="32"/>
          <w:szCs w:val="32"/>
        </w:rPr>
        <w:t>各单位政府采购预算总额</w:t>
      </w:r>
      <w:r>
        <w:rPr>
          <w:rFonts w:ascii="仿宋_GB2312" w:eastAsia="仿宋_GB2312"/>
          <w:color w:val="000000"/>
          <w:sz w:val="32"/>
          <w:szCs w:val="32"/>
        </w:rPr>
        <w:t>3119.50</w:t>
      </w:r>
      <w:r>
        <w:rPr>
          <w:rFonts w:hint="eastAsia" w:ascii="仿宋_GB2312" w:eastAsia="仿宋_GB2312"/>
          <w:color w:val="000000"/>
          <w:sz w:val="32"/>
          <w:szCs w:val="32"/>
        </w:rPr>
        <w:t>万元，其中：政府采购货物预算1145.80万元、政府采购工程预算0.00万元、政府采购服务预算</w:t>
      </w:r>
      <w:r>
        <w:rPr>
          <w:rFonts w:ascii="仿宋_GB2312" w:eastAsia="仿宋_GB2312"/>
          <w:color w:val="000000"/>
          <w:sz w:val="32"/>
          <w:szCs w:val="32"/>
        </w:rPr>
        <w:t>1973.70</w:t>
      </w:r>
      <w:r>
        <w:rPr>
          <w:rFonts w:hint="eastAsia" w:ascii="仿宋_GB2312" w:eastAsia="仿宋_GB2312"/>
          <w:color w:val="000000"/>
          <w:sz w:val="32"/>
          <w:szCs w:val="32"/>
        </w:rPr>
        <w:t>万元。</w:t>
      </w:r>
    </w:p>
    <w:p>
      <w:pPr>
        <w:pStyle w:val="14"/>
        <w:spacing w:line="520" w:lineRule="exact"/>
        <w:ind w:firstLine="642"/>
        <w:rPr>
          <w:rFonts w:ascii="仿宋_GB2312" w:eastAsia="仿宋_GB2312"/>
          <w:sz w:val="32"/>
          <w:szCs w:val="32"/>
        </w:rPr>
      </w:pPr>
      <w:r>
        <w:rPr>
          <w:rFonts w:hint="eastAsia" w:ascii="仿宋_GB2312" w:eastAsia="仿宋_GB2312"/>
          <w:b/>
          <w:bCs/>
          <w:sz w:val="32"/>
          <w:szCs w:val="32"/>
          <w:lang w:val="en-US" w:eastAsia="zh-CN"/>
        </w:rPr>
        <w:t>2.</w:t>
      </w:r>
      <w:r>
        <w:rPr>
          <w:rFonts w:hint="eastAsia" w:ascii="仿宋_GB2312" w:eastAsia="仿宋_GB2312"/>
          <w:b/>
          <w:bCs/>
          <w:sz w:val="32"/>
          <w:szCs w:val="32"/>
        </w:rPr>
        <w:t>国有资产占有使用情况。</w:t>
      </w:r>
    </w:p>
    <w:p>
      <w:pPr>
        <w:spacing w:line="520" w:lineRule="exact"/>
        <w:ind w:firstLine="640"/>
        <w:rPr>
          <w:rFonts w:ascii="仿宋_GB2312" w:hAnsi="仿宋_GB2312" w:eastAsia="仿宋_GB2312" w:cs="仿宋_GB2312"/>
          <w:sz w:val="32"/>
          <w:szCs w:val="32"/>
        </w:rPr>
      </w:pPr>
      <w:r>
        <w:rPr>
          <w:rFonts w:hint="eastAsia" w:ascii="仿宋_GB2312" w:hAnsi="仿宋_GB2312" w:eastAsia="仿宋_GB2312" w:cs="仿宋_GB2312"/>
          <w:spacing w:val="6"/>
          <w:sz w:val="32"/>
          <w:szCs w:val="32"/>
        </w:rPr>
        <w:t>截至</w:t>
      </w:r>
      <w:r>
        <w:rPr>
          <w:rFonts w:hint="eastAsia" w:ascii="仿宋_GB2312" w:hAnsi="仿宋_GB2312" w:eastAsia="仿宋_GB2312" w:cs="仿宋_GB2312"/>
          <w:spacing w:val="6"/>
          <w:sz w:val="32"/>
          <w:szCs w:val="32"/>
          <w:lang w:eastAsia="zh-CN"/>
        </w:rPr>
        <w:t>2025</w:t>
      </w:r>
      <w:r>
        <w:rPr>
          <w:rFonts w:hint="eastAsia" w:ascii="仿宋_GB2312" w:hAnsi="仿宋_GB2312" w:eastAsia="仿宋_GB2312" w:cs="仿宋_GB2312"/>
          <w:spacing w:val="6"/>
          <w:sz w:val="32"/>
          <w:szCs w:val="32"/>
        </w:rPr>
        <w:t>年12月31日，衢州学院所属各预算单位共有车辆</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辆，其中，应急保障用车</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辆、老干部服务用车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辆、行政执法专用车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bookmarkStart w:id="0" w:name="OLE_LINK1"/>
      <w:r>
        <w:rPr>
          <w:rFonts w:hint="eastAsia" w:ascii="仿宋_GB2312" w:hAnsi="仿宋_GB2312" w:eastAsia="仿宋_GB2312" w:cs="仿宋_GB2312"/>
          <w:sz w:val="32"/>
          <w:szCs w:val="32"/>
          <w:lang w:val="en-US" w:eastAsia="zh-CN"/>
        </w:rPr>
        <w:t>0</w:t>
      </w:r>
      <w:bookmarkEnd w:id="0"/>
      <w:r>
        <w:rPr>
          <w:rFonts w:hint="eastAsia" w:ascii="仿宋_GB2312" w:hAnsi="仿宋_GB2312" w:eastAsia="仿宋_GB2312" w:cs="仿宋_GB2312"/>
          <w:sz w:val="32"/>
          <w:szCs w:val="32"/>
        </w:rPr>
        <w:t>辆。单位价值100万元以上设备</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 xml:space="preserve">台（套）。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2026年</w:t>
      </w:r>
      <w:r>
        <w:rPr>
          <w:rFonts w:ascii="仿宋_GB2312" w:hAnsi="仿宋_GB2312" w:eastAsia="仿宋_GB2312" w:cs="仿宋_GB2312"/>
          <w:sz w:val="32"/>
          <w:szCs w:val="32"/>
        </w:rPr>
        <w:t>部门预算安排购置车辆</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辆，其中，应急保障用车</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辆、老干部服务用车</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辆、行政执法专用车</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辆</w:t>
      </w:r>
      <w:r>
        <w:rPr>
          <w:rFonts w:hint="eastAsia" w:ascii="仿宋_GB2312" w:hAnsi="仿宋_GB2312" w:eastAsia="仿宋_GB2312" w:cs="仿宋_GB2312"/>
          <w:sz w:val="32"/>
          <w:szCs w:val="32"/>
        </w:rPr>
        <w:t>、其他用车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2026年</w:t>
      </w:r>
      <w:r>
        <w:rPr>
          <w:rFonts w:ascii="仿宋_GB2312" w:hAnsi="仿宋_GB2312" w:eastAsia="仿宋_GB2312" w:cs="仿宋_GB2312"/>
          <w:sz w:val="32"/>
          <w:szCs w:val="32"/>
        </w:rPr>
        <w:t>部门预算未安排购置单位价值100万元以上设备</w:t>
      </w:r>
      <w:r>
        <w:rPr>
          <w:rFonts w:hint="eastAsia" w:ascii="仿宋_GB2312" w:hAnsi="仿宋_GB2312" w:eastAsia="仿宋_GB2312" w:cs="仿宋_GB2312"/>
          <w:sz w:val="32"/>
          <w:szCs w:val="32"/>
        </w:rPr>
        <w:t>。</w:t>
      </w:r>
    </w:p>
    <w:p>
      <w:pPr>
        <w:pStyle w:val="14"/>
        <w:spacing w:line="520" w:lineRule="exact"/>
        <w:rPr>
          <w:rFonts w:ascii="仿宋_GB2312" w:eastAsia="仿宋_GB2312"/>
          <w:b/>
          <w:bCs/>
          <w:sz w:val="32"/>
          <w:szCs w:val="32"/>
        </w:rPr>
      </w:pPr>
      <w:r>
        <w:rPr>
          <w:rFonts w:hint="eastAsia" w:ascii="仿宋_GB2312" w:eastAsia="仿宋_GB2312"/>
          <w:b/>
          <w:bCs/>
          <w:sz w:val="32"/>
          <w:szCs w:val="32"/>
        </w:rPr>
        <w:t xml:space="preserve">    </w:t>
      </w:r>
      <w:r>
        <w:rPr>
          <w:rFonts w:hint="eastAsia" w:ascii="仿宋_GB2312" w:eastAsia="仿宋_GB2312"/>
          <w:b/>
          <w:bCs/>
          <w:sz w:val="32"/>
          <w:szCs w:val="32"/>
          <w:lang w:val="en-US" w:eastAsia="zh-CN"/>
        </w:rPr>
        <w:t>3.</w:t>
      </w:r>
      <w:r>
        <w:rPr>
          <w:rFonts w:hint="eastAsia" w:ascii="仿宋_GB2312" w:eastAsia="仿宋_GB2312"/>
          <w:b/>
          <w:bCs/>
          <w:sz w:val="32"/>
          <w:szCs w:val="32"/>
        </w:rPr>
        <w:t>预算绩效情况说明。</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2026年</w:t>
      </w:r>
      <w:r>
        <w:rPr>
          <w:rFonts w:hint="eastAsia" w:ascii="仿宋_GB2312" w:hAnsi="仿宋_GB2312" w:eastAsia="仿宋_GB2312" w:cs="仿宋_GB2312"/>
          <w:sz w:val="32"/>
          <w:szCs w:val="32"/>
        </w:rPr>
        <w:t>衢州学院其他运转类项目和特定目标类项目均实行绩效目标管理，共计4个一级项目，涉及当年资金22349.40万元。同时，将按照相关制度规定开展绩效自评。一级项目绩效目标表，详见“部门项目支出绩效表”</w:t>
      </w:r>
      <w:r>
        <w:rPr>
          <w:rFonts w:hint="eastAsia" w:ascii="仿宋_GB2312" w:hAnsi="仿宋_GB2312" w:eastAsia="仿宋_GB2312" w:cs="仿宋_GB2312"/>
          <w:sz w:val="32"/>
          <w:szCs w:val="32"/>
        </w:rPr>
        <w:t>。</w:t>
      </w:r>
    </w:p>
    <w:p>
      <w:pPr>
        <w:pStyle w:val="2"/>
        <w:numPr>
          <w:ilvl w:val="0"/>
          <w:numId w:val="0"/>
        </w:numPr>
        <w:ind w:firstLine="643" w:firstLineChars="200"/>
        <w:rPr>
          <w:rFonts w:hint="eastAsia" w:ascii="仿宋_GB2312" w:hAnsi="Times New Roman" w:eastAsia="仿宋_GB2312" w:cs="Times New Roman"/>
          <w:b/>
          <w:bCs/>
          <w:color w:val="auto"/>
          <w:kern w:val="0"/>
          <w:sz w:val="32"/>
          <w:szCs w:val="32"/>
          <w:lang w:val="en-US" w:eastAsia="zh-CN" w:bidi="ar-SA"/>
        </w:rPr>
      </w:pPr>
      <w:r>
        <w:rPr>
          <w:rFonts w:hint="eastAsia" w:hAnsi="Times New Roman" w:cs="Times New Roman"/>
          <w:b/>
          <w:bCs/>
          <w:color w:val="auto"/>
          <w:kern w:val="0"/>
          <w:sz w:val="32"/>
          <w:szCs w:val="32"/>
          <w:lang w:val="en-US" w:eastAsia="zh-CN" w:bidi="ar-SA"/>
        </w:rPr>
        <w:t>4.</w:t>
      </w:r>
      <w:r>
        <w:rPr>
          <w:rFonts w:hint="eastAsia" w:ascii="仿宋_GB2312" w:hAnsi="Times New Roman" w:eastAsia="仿宋_GB2312" w:cs="Times New Roman"/>
          <w:b/>
          <w:bCs/>
          <w:color w:val="auto"/>
          <w:kern w:val="0"/>
          <w:sz w:val="32"/>
          <w:szCs w:val="32"/>
          <w:lang w:val="en-US" w:eastAsia="zh-CN" w:bidi="ar-SA"/>
        </w:rPr>
        <w:t>委托业务费安排情况</w:t>
      </w:r>
    </w:p>
    <w:p>
      <w:pPr>
        <w:pStyle w:val="2"/>
        <w:ind w:firstLine="640" w:firstLineChars="200"/>
        <w:jc w:val="both"/>
      </w:pPr>
      <w:r>
        <w:rPr>
          <w:rFonts w:hint="eastAsia" w:ascii="仿宋_GB2312" w:hAnsi="仿宋_GB2312" w:eastAsia="仿宋_GB2312" w:cs="仿宋_GB2312"/>
          <w:color w:val="auto"/>
          <w:kern w:val="2"/>
          <w:sz w:val="32"/>
          <w:szCs w:val="32"/>
          <w:lang w:val="en-US" w:eastAsia="zh-CN" w:bidi="ar-SA"/>
        </w:rPr>
        <w:t>2026年衢州学院委托业务费财政拨款当年</w:t>
      </w:r>
      <w:r>
        <w:rPr>
          <w:rFonts w:hint="eastAsia" w:cs="仿宋_GB2312"/>
          <w:color w:val="auto"/>
          <w:kern w:val="2"/>
          <w:sz w:val="32"/>
          <w:szCs w:val="32"/>
          <w:lang w:val="en-US" w:eastAsia="zh-CN" w:bidi="ar-SA"/>
        </w:rPr>
        <w:t>预算</w:t>
      </w:r>
      <w:r>
        <w:rPr>
          <w:rFonts w:hint="eastAsia" w:ascii="仿宋_GB2312" w:hAnsi="仿宋_GB2312" w:eastAsia="仿宋_GB2312" w:cs="仿宋_GB2312"/>
          <w:color w:val="auto"/>
          <w:kern w:val="2"/>
          <w:sz w:val="32"/>
          <w:szCs w:val="32"/>
          <w:lang w:val="en-US" w:eastAsia="zh-CN" w:bidi="ar-SA"/>
        </w:rPr>
        <w:t>总额362.20万元。</w:t>
      </w:r>
    </w:p>
    <w:p>
      <w:pPr>
        <w:pStyle w:val="14"/>
        <w:spacing w:line="520" w:lineRule="exact"/>
        <w:ind w:firstLine="640" w:firstLineChars="200"/>
        <w:rPr>
          <w:rFonts w:ascii="黑体" w:hAnsi="黑体" w:eastAsia="黑体" w:cs="黑体"/>
          <w:bCs/>
          <w:kern w:val="2"/>
          <w:sz w:val="32"/>
          <w:szCs w:val="32"/>
        </w:rPr>
      </w:pPr>
      <w:r>
        <w:rPr>
          <w:rFonts w:hint="eastAsia" w:ascii="黑体" w:hAnsi="黑体" w:eastAsia="黑体" w:cs="黑体"/>
          <w:bCs/>
          <w:kern w:val="2"/>
          <w:sz w:val="32"/>
          <w:szCs w:val="32"/>
        </w:rPr>
        <w:t>三、名词解释</w:t>
      </w:r>
      <w:bookmarkStart w:id="1" w:name="_GoBack"/>
      <w:bookmarkEnd w:id="1"/>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1.财政拨款收入：本级财政部门当年拨付的财政预算资金，包括一般公共预算财政拨款</w:t>
      </w:r>
      <w:r>
        <w:rPr>
          <w:rFonts w:hint="eastAsia" w:ascii="仿宋_GB2312" w:eastAsia="仿宋_GB2312"/>
          <w:color w:val="000000"/>
          <w:sz w:val="32"/>
          <w:szCs w:val="32"/>
        </w:rPr>
        <w:t>、</w:t>
      </w:r>
      <w:r>
        <w:rPr>
          <w:rFonts w:hint="eastAsia" w:ascii="仿宋_GB2312" w:hAnsi="仿宋_GB2312" w:eastAsia="仿宋_GB2312" w:cs="仿宋_GB2312"/>
          <w:sz w:val="32"/>
          <w:szCs w:val="32"/>
        </w:rPr>
        <w:t>政府性基金预算和国有资本经营预算财政拨款。</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2.财政专户管理资金:教育收费作为本部门的事业收入，纳入财政专户管理的资金。</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3.事业收入：事业单位开展专业业务活动及辅助活动所取得的收入，不含财政专户管理资金收入。</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4.事业单位经营收入：事业单位在专业业务活动及辅助活动之外开展非独立核算经营活动取得的收入。</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收入：预算单位在“一般公共预算”“政府性基金预算”“国有资本经营预算”“财政专户管理资金”“事业收入”“事业单位经营收入”“上级补助收入”和“附属单位上缴收入”等之外取得的各项收入。</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6.上年结转结余：包括财政拨款结转结余、财政专户管理结转结余和单位资金结转结余。</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7.基本支出：是预算单位为保障其正常运转，完成日常工作任务所发生的支出，包括人员支出和日常公用支出。</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8.项目支出：是预算单位为完成其特定的行政工作任务或事业发展目标所发生的支出。</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.“三公”经费：纳入财政预决算管理的“三公”经费，是指部门用一般公共预算财政拨款安排的因公出国（境）费</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rPr>
        <w:t>、公务用车购置及运行费和公务接待费。其中，因公出国（境）费</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rPr>
        <w:t>反映单位公务出国（境）的国际旅费、国外城市间交通费、住宿费、伙食费、培训费、公杂费等支出，不含教学科研人员学术交流出国（境）费用；公务用车购置及运行费反映单位公务用车车辆购置支出（含车辆购置税）及燃料费、新能源汽车充电费、维修费、过桥过路费、保险费、安全奖励费用等支出；公务接待费反映单位按规定开支的各类公务接待（含外宾接待）支出。</w:t>
      </w:r>
    </w:p>
    <w:p>
      <w:pPr>
        <w:spacing w:line="520" w:lineRule="exact"/>
        <w:ind w:firstLine="640" w:firstLineChars="200"/>
        <w:jc w:val="both"/>
        <w:rPr>
          <w:rFonts w:hint="default" w:eastAsia="仿宋_GB231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rPr>
        <w:t>委托业务费：指的是因委托外单位办理业务而支付的委托业务费。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教育支出（类）普通教育（款）高等教育（项）：指各部门举办的普通本科（包括研究生）教育支出。政府各部门对社会组织等举办的普通本科高等院校（包括研究生）的资助，如捐赠、补贴等，也在本科目中反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教育支出（类）教育费附加安排的支出（款）其他教育费附加安排的支出（项）：指除农村中小学校舍建设、农村中小学教学设施、城市中小学校舍建设、城市中小学教学设施、中等职业学校教学设施项目以外的教育费附加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.科学技术支出（类）技术研究与开发（款）其他技术研究与开发支出（项）：指除机构运行、科技成果转化与扩散、共性技术研究与开发项目以外其他用于技术研究与开发方面的支出。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.科学技术支出（类）社会科学（款）社会科学研究（项）：指除社科基金支出外的社会科学研究支出。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.科学技术支出（类）科技重大项目（款）重点研发计划（项）：指</w:t>
      </w:r>
      <w:r>
        <w:rPr>
          <w:rFonts w:hint="eastAsia" w:ascii="仿宋_GB2312" w:hAnsi="仿宋_GB2312" w:eastAsia="仿宋_GB2312" w:cs="仿宋_GB2312"/>
          <w:sz w:val="32"/>
          <w:szCs w:val="32"/>
          <w:highlight w:val="none"/>
          <w:lang w:eastAsia="zh-CN"/>
        </w:rPr>
        <w:t>用于重点研发计划的有关经费</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.社会保障和就业支出（类）行政事业单位养老支出（款）机关事业单位基本养老保险缴费支出（项）：指机关事业单位实施养老保险制度由单位缴纳的基本养老保险费支出。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.社会保障和就业支出（类）行政事业单位养老支出（款）机关事业单位职业年金缴费支出（项）：指机关事业单位实施养老保险制度由单位实际缴纳的职业年金支出</w:t>
      </w:r>
      <w:r>
        <w:rPr>
          <w:rFonts w:hint="eastAsia" w:ascii="仿宋_GB2312" w:hAnsi="仿宋_GB2312" w:eastAsia="仿宋_GB2312" w:cs="仿宋_GB2312"/>
          <w:sz w:val="32"/>
          <w:szCs w:val="32"/>
          <w:highlight w:val="none"/>
          <w:lang w:eastAsia="zh-CN"/>
        </w:rPr>
        <w:t>（含职业年金补记支出）</w:t>
      </w:r>
      <w:r>
        <w:rPr>
          <w:rFonts w:hint="eastAsia" w:ascii="仿宋_GB2312" w:hAnsi="仿宋_GB2312" w:eastAsia="仿宋_GB2312" w:cs="仿宋_GB2312"/>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社会保障和就业支出（类）行政事业单位养老支出（款）其他行政事业单位养老支出（项）：指除行政单位离退休、事业单位离退休、离退休人员管理机构、机关事业单位基本养老保险缴费支出、机关事业单位职业年金缴费支出、对机关事业单位基本养老保险基金的补助、对机关事业单位职业年金的补助项目以外其他用于行政事业单位养老方面的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.卫生健康支出（类）行政事业单位医疗（款）其他行政事业单位医疗支出（项）：指除行政单位医疗、事业单位医疗、公务员医疗补助项目以外的其他用于行政事业单位医疗方面的支出。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.城乡社区支出（类）国有土地使用权出让收入安排的支出（款）城市建设支出（项）：</w:t>
      </w:r>
      <w:r>
        <w:rPr>
          <w:rFonts w:hint="eastAsia" w:ascii="仿宋_GB2312" w:hAnsi="仿宋_GB2312" w:eastAsia="仿宋_GB2312" w:cs="仿宋_GB2312"/>
          <w:color w:val="auto"/>
          <w:sz w:val="32"/>
          <w:szCs w:val="32"/>
          <w:highlight w:val="none"/>
        </w:rPr>
        <w:t>指</w:t>
      </w:r>
      <w:r>
        <w:rPr>
          <w:rFonts w:hint="eastAsia" w:ascii="仿宋_GB2312" w:hAnsi="仿宋_GB2312" w:eastAsia="仿宋_GB2312" w:cs="仿宋_GB2312"/>
          <w:color w:val="auto"/>
          <w:sz w:val="32"/>
          <w:szCs w:val="32"/>
          <w:highlight w:val="none"/>
          <w:lang w:val="en-US" w:eastAsia="zh-CN"/>
        </w:rPr>
        <w:t>土地出让收入用于完善国有土地使用功能的配套设施建设和城市基础设施建设的支出</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.住房保障支出（类）住房改革支出（款）住房公积金（项）：指行政事业单位按人力资源和社会保障部、财政部规定的基本工资和津贴补贴以及规定比例为职工缴纳的住房公积金。</w:t>
      </w:r>
    </w:p>
    <w:sectPr>
      <w:footerReference r:id="rId3" w:type="default"/>
      <w:pgSz w:w="11906" w:h="16838"/>
      <w:pgMar w:top="1440" w:right="1800" w:bottom="1440" w:left="1800" w:header="851" w:footer="992" w:gutter="0"/>
      <w:pgNumType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95A99C"/>
    <w:multiLevelType w:val="singleLevel"/>
    <w:tmpl w:val="5895A99C"/>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8453C"/>
    <w:rsid w:val="0002642F"/>
    <w:rsid w:val="00037FBA"/>
    <w:rsid w:val="00084C3B"/>
    <w:rsid w:val="000F6704"/>
    <w:rsid w:val="0014553D"/>
    <w:rsid w:val="00151805"/>
    <w:rsid w:val="0018453C"/>
    <w:rsid w:val="00225BBF"/>
    <w:rsid w:val="00233C98"/>
    <w:rsid w:val="0025199F"/>
    <w:rsid w:val="00262069"/>
    <w:rsid w:val="00262BFB"/>
    <w:rsid w:val="0029677C"/>
    <w:rsid w:val="002D46DD"/>
    <w:rsid w:val="002E190E"/>
    <w:rsid w:val="00312421"/>
    <w:rsid w:val="0034320B"/>
    <w:rsid w:val="0035041B"/>
    <w:rsid w:val="003533AA"/>
    <w:rsid w:val="00372A55"/>
    <w:rsid w:val="0039638D"/>
    <w:rsid w:val="003A54FF"/>
    <w:rsid w:val="003C7BA3"/>
    <w:rsid w:val="004B141E"/>
    <w:rsid w:val="004B1C55"/>
    <w:rsid w:val="004C1A7E"/>
    <w:rsid w:val="004F65D0"/>
    <w:rsid w:val="004F6D96"/>
    <w:rsid w:val="0054517F"/>
    <w:rsid w:val="0055355B"/>
    <w:rsid w:val="00576237"/>
    <w:rsid w:val="005C2E6B"/>
    <w:rsid w:val="005E47B3"/>
    <w:rsid w:val="005E7D52"/>
    <w:rsid w:val="00655F61"/>
    <w:rsid w:val="00667EBC"/>
    <w:rsid w:val="006C39E2"/>
    <w:rsid w:val="006D5442"/>
    <w:rsid w:val="006D7FE3"/>
    <w:rsid w:val="006E0740"/>
    <w:rsid w:val="006E085B"/>
    <w:rsid w:val="006F455E"/>
    <w:rsid w:val="007072D9"/>
    <w:rsid w:val="0073245A"/>
    <w:rsid w:val="007715EF"/>
    <w:rsid w:val="007A0C65"/>
    <w:rsid w:val="007B431F"/>
    <w:rsid w:val="007E4CC3"/>
    <w:rsid w:val="007E5EFB"/>
    <w:rsid w:val="00801E01"/>
    <w:rsid w:val="00834DDF"/>
    <w:rsid w:val="00850DC9"/>
    <w:rsid w:val="00882C0A"/>
    <w:rsid w:val="0089440C"/>
    <w:rsid w:val="00916ABC"/>
    <w:rsid w:val="009415A1"/>
    <w:rsid w:val="009427F2"/>
    <w:rsid w:val="00943339"/>
    <w:rsid w:val="009444AA"/>
    <w:rsid w:val="009A7459"/>
    <w:rsid w:val="009B71E7"/>
    <w:rsid w:val="009C4B77"/>
    <w:rsid w:val="00A76362"/>
    <w:rsid w:val="00A86842"/>
    <w:rsid w:val="00AB2741"/>
    <w:rsid w:val="00AC7742"/>
    <w:rsid w:val="00B109C2"/>
    <w:rsid w:val="00B11C03"/>
    <w:rsid w:val="00B7532A"/>
    <w:rsid w:val="00BA6311"/>
    <w:rsid w:val="00C35F38"/>
    <w:rsid w:val="00C47BB8"/>
    <w:rsid w:val="00C52D1F"/>
    <w:rsid w:val="00C75827"/>
    <w:rsid w:val="00CA4684"/>
    <w:rsid w:val="00CE3F52"/>
    <w:rsid w:val="00D81B35"/>
    <w:rsid w:val="00DA6F5B"/>
    <w:rsid w:val="00DA7F84"/>
    <w:rsid w:val="00E16E78"/>
    <w:rsid w:val="00E20FB4"/>
    <w:rsid w:val="00E37BE0"/>
    <w:rsid w:val="00E40834"/>
    <w:rsid w:val="00E429D8"/>
    <w:rsid w:val="00E44C58"/>
    <w:rsid w:val="00E72378"/>
    <w:rsid w:val="00E925CD"/>
    <w:rsid w:val="00F23B56"/>
    <w:rsid w:val="00F56A05"/>
    <w:rsid w:val="00F6374C"/>
    <w:rsid w:val="00F7116F"/>
    <w:rsid w:val="00F73C07"/>
    <w:rsid w:val="00F82550"/>
    <w:rsid w:val="00FB1AD5"/>
    <w:rsid w:val="01405C62"/>
    <w:rsid w:val="015C0D77"/>
    <w:rsid w:val="01F263DB"/>
    <w:rsid w:val="024C6702"/>
    <w:rsid w:val="02632622"/>
    <w:rsid w:val="026505B4"/>
    <w:rsid w:val="028630A1"/>
    <w:rsid w:val="03497EAB"/>
    <w:rsid w:val="03AA3E3B"/>
    <w:rsid w:val="03EA5C50"/>
    <w:rsid w:val="05054F3D"/>
    <w:rsid w:val="05227854"/>
    <w:rsid w:val="0538011A"/>
    <w:rsid w:val="054D0FA3"/>
    <w:rsid w:val="05761D17"/>
    <w:rsid w:val="05E01304"/>
    <w:rsid w:val="05F46152"/>
    <w:rsid w:val="05F835B0"/>
    <w:rsid w:val="063B27DE"/>
    <w:rsid w:val="065E25EC"/>
    <w:rsid w:val="06835E42"/>
    <w:rsid w:val="06FC7ED4"/>
    <w:rsid w:val="07623DA7"/>
    <w:rsid w:val="077B34F3"/>
    <w:rsid w:val="07907D66"/>
    <w:rsid w:val="07CB49F6"/>
    <w:rsid w:val="081119C7"/>
    <w:rsid w:val="081A0728"/>
    <w:rsid w:val="08DE4DFD"/>
    <w:rsid w:val="08FE14ED"/>
    <w:rsid w:val="09002112"/>
    <w:rsid w:val="09C31824"/>
    <w:rsid w:val="0A1D1E06"/>
    <w:rsid w:val="0A4C7CCD"/>
    <w:rsid w:val="0B486D9D"/>
    <w:rsid w:val="0BD448F3"/>
    <w:rsid w:val="0C7B7749"/>
    <w:rsid w:val="0C843E91"/>
    <w:rsid w:val="0CE2397A"/>
    <w:rsid w:val="0CEE5818"/>
    <w:rsid w:val="0DDF3EA9"/>
    <w:rsid w:val="0F0A0BC6"/>
    <w:rsid w:val="0F3E23E2"/>
    <w:rsid w:val="0F5C4EB1"/>
    <w:rsid w:val="0F760C96"/>
    <w:rsid w:val="0F851054"/>
    <w:rsid w:val="0FFC24E5"/>
    <w:rsid w:val="106C0413"/>
    <w:rsid w:val="1085571C"/>
    <w:rsid w:val="11387C8E"/>
    <w:rsid w:val="119C1C51"/>
    <w:rsid w:val="11F64BCE"/>
    <w:rsid w:val="124E1058"/>
    <w:rsid w:val="12970A77"/>
    <w:rsid w:val="12B72665"/>
    <w:rsid w:val="12D300E7"/>
    <w:rsid w:val="13725DAD"/>
    <w:rsid w:val="13811EEE"/>
    <w:rsid w:val="140A4012"/>
    <w:rsid w:val="14EF3497"/>
    <w:rsid w:val="150D68D8"/>
    <w:rsid w:val="153B4AAC"/>
    <w:rsid w:val="153C45B3"/>
    <w:rsid w:val="15420797"/>
    <w:rsid w:val="157947AC"/>
    <w:rsid w:val="15DB09EF"/>
    <w:rsid w:val="15E27884"/>
    <w:rsid w:val="1650535C"/>
    <w:rsid w:val="165642D9"/>
    <w:rsid w:val="16F374C9"/>
    <w:rsid w:val="17EC7FC1"/>
    <w:rsid w:val="17F81734"/>
    <w:rsid w:val="180456FC"/>
    <w:rsid w:val="180D7344"/>
    <w:rsid w:val="18D04290"/>
    <w:rsid w:val="18EF3804"/>
    <w:rsid w:val="195C3A7E"/>
    <w:rsid w:val="1A14325B"/>
    <w:rsid w:val="1A2375F0"/>
    <w:rsid w:val="1A9C6906"/>
    <w:rsid w:val="1AC0275A"/>
    <w:rsid w:val="1AD45321"/>
    <w:rsid w:val="1B06178B"/>
    <w:rsid w:val="1B1D1342"/>
    <w:rsid w:val="1B2A6629"/>
    <w:rsid w:val="1B6E51E0"/>
    <w:rsid w:val="1BD37366"/>
    <w:rsid w:val="1C103D2D"/>
    <w:rsid w:val="1C1965EC"/>
    <w:rsid w:val="1C652CAB"/>
    <w:rsid w:val="1C7701B9"/>
    <w:rsid w:val="1D99665F"/>
    <w:rsid w:val="1E2850F6"/>
    <w:rsid w:val="1E2D205C"/>
    <w:rsid w:val="1E5122F2"/>
    <w:rsid w:val="1E621D9B"/>
    <w:rsid w:val="1E6238F6"/>
    <w:rsid w:val="1E945AB3"/>
    <w:rsid w:val="1EBB0876"/>
    <w:rsid w:val="1EFB5835"/>
    <w:rsid w:val="2008260C"/>
    <w:rsid w:val="205247F6"/>
    <w:rsid w:val="20C21B5F"/>
    <w:rsid w:val="20D018DC"/>
    <w:rsid w:val="20D8491F"/>
    <w:rsid w:val="217D79B3"/>
    <w:rsid w:val="219B3B12"/>
    <w:rsid w:val="21F8300E"/>
    <w:rsid w:val="22147638"/>
    <w:rsid w:val="22632C64"/>
    <w:rsid w:val="22A22428"/>
    <w:rsid w:val="22D4227E"/>
    <w:rsid w:val="22FA27EC"/>
    <w:rsid w:val="230477A4"/>
    <w:rsid w:val="234550B7"/>
    <w:rsid w:val="23565231"/>
    <w:rsid w:val="2384696C"/>
    <w:rsid w:val="23B968AE"/>
    <w:rsid w:val="240772FF"/>
    <w:rsid w:val="24095A63"/>
    <w:rsid w:val="24183DF0"/>
    <w:rsid w:val="247778DD"/>
    <w:rsid w:val="247A77A8"/>
    <w:rsid w:val="2492204D"/>
    <w:rsid w:val="24D6630F"/>
    <w:rsid w:val="24F84929"/>
    <w:rsid w:val="257B506C"/>
    <w:rsid w:val="25DE1005"/>
    <w:rsid w:val="25E7758C"/>
    <w:rsid w:val="25F31947"/>
    <w:rsid w:val="260A1E20"/>
    <w:rsid w:val="26386A68"/>
    <w:rsid w:val="26816946"/>
    <w:rsid w:val="26DB7398"/>
    <w:rsid w:val="2705728B"/>
    <w:rsid w:val="27417BF8"/>
    <w:rsid w:val="27693B45"/>
    <w:rsid w:val="27E22CAD"/>
    <w:rsid w:val="283A129B"/>
    <w:rsid w:val="28C67844"/>
    <w:rsid w:val="294F0255"/>
    <w:rsid w:val="29C41367"/>
    <w:rsid w:val="29DF16A7"/>
    <w:rsid w:val="29F74F67"/>
    <w:rsid w:val="2A484907"/>
    <w:rsid w:val="2B755902"/>
    <w:rsid w:val="2BA81833"/>
    <w:rsid w:val="2BAC3F70"/>
    <w:rsid w:val="2BB62055"/>
    <w:rsid w:val="2BDB7C6F"/>
    <w:rsid w:val="2C56166B"/>
    <w:rsid w:val="2C772798"/>
    <w:rsid w:val="2C984980"/>
    <w:rsid w:val="2CC5167C"/>
    <w:rsid w:val="2CDD3333"/>
    <w:rsid w:val="2CE33635"/>
    <w:rsid w:val="2CEF2418"/>
    <w:rsid w:val="2D391980"/>
    <w:rsid w:val="2DE95528"/>
    <w:rsid w:val="2ED263DE"/>
    <w:rsid w:val="2EDC147D"/>
    <w:rsid w:val="2F312BD6"/>
    <w:rsid w:val="2F4F315F"/>
    <w:rsid w:val="2F5260FE"/>
    <w:rsid w:val="30780EC9"/>
    <w:rsid w:val="309E79BA"/>
    <w:rsid w:val="31C46552"/>
    <w:rsid w:val="31EC7268"/>
    <w:rsid w:val="32691E0F"/>
    <w:rsid w:val="33722AF4"/>
    <w:rsid w:val="339F5B7F"/>
    <w:rsid w:val="345A4B8C"/>
    <w:rsid w:val="348C692F"/>
    <w:rsid w:val="34A77A31"/>
    <w:rsid w:val="34F20284"/>
    <w:rsid w:val="354F6355"/>
    <w:rsid w:val="3570347C"/>
    <w:rsid w:val="35AF46C7"/>
    <w:rsid w:val="35FC37F1"/>
    <w:rsid w:val="3619346A"/>
    <w:rsid w:val="369D13B4"/>
    <w:rsid w:val="375245EA"/>
    <w:rsid w:val="37DD34EA"/>
    <w:rsid w:val="3859649B"/>
    <w:rsid w:val="386D2696"/>
    <w:rsid w:val="39103ACE"/>
    <w:rsid w:val="39227B1B"/>
    <w:rsid w:val="39406911"/>
    <w:rsid w:val="39850296"/>
    <w:rsid w:val="39C26750"/>
    <w:rsid w:val="3A1727BC"/>
    <w:rsid w:val="3A7F1D43"/>
    <w:rsid w:val="3A8D223E"/>
    <w:rsid w:val="3B291386"/>
    <w:rsid w:val="3B563038"/>
    <w:rsid w:val="3B80307E"/>
    <w:rsid w:val="3BCA7BD7"/>
    <w:rsid w:val="3C590387"/>
    <w:rsid w:val="3C6C37E2"/>
    <w:rsid w:val="3C7D1C3F"/>
    <w:rsid w:val="3C8D7B5B"/>
    <w:rsid w:val="3CFD6A0C"/>
    <w:rsid w:val="3DE545E0"/>
    <w:rsid w:val="3E431765"/>
    <w:rsid w:val="3EB11E45"/>
    <w:rsid w:val="400943B7"/>
    <w:rsid w:val="40143523"/>
    <w:rsid w:val="406B2735"/>
    <w:rsid w:val="4171469C"/>
    <w:rsid w:val="42C454C8"/>
    <w:rsid w:val="431A2687"/>
    <w:rsid w:val="43482ADF"/>
    <w:rsid w:val="43497E11"/>
    <w:rsid w:val="438C52D1"/>
    <w:rsid w:val="43AF1DC7"/>
    <w:rsid w:val="442360D8"/>
    <w:rsid w:val="450B3104"/>
    <w:rsid w:val="45374F70"/>
    <w:rsid w:val="45E922E2"/>
    <w:rsid w:val="46181B9F"/>
    <w:rsid w:val="46B73DB3"/>
    <w:rsid w:val="46B85A12"/>
    <w:rsid w:val="46C20ABF"/>
    <w:rsid w:val="471C5409"/>
    <w:rsid w:val="475E76EE"/>
    <w:rsid w:val="47645604"/>
    <w:rsid w:val="47AC0459"/>
    <w:rsid w:val="47B54AE2"/>
    <w:rsid w:val="484652C3"/>
    <w:rsid w:val="489E735B"/>
    <w:rsid w:val="48AA0CAC"/>
    <w:rsid w:val="48C71E58"/>
    <w:rsid w:val="48EF215B"/>
    <w:rsid w:val="49547ADE"/>
    <w:rsid w:val="498C717B"/>
    <w:rsid w:val="499358EA"/>
    <w:rsid w:val="4AB935E6"/>
    <w:rsid w:val="4B1F601E"/>
    <w:rsid w:val="4B65339C"/>
    <w:rsid w:val="4BE2220E"/>
    <w:rsid w:val="4D097364"/>
    <w:rsid w:val="4D7808AB"/>
    <w:rsid w:val="4DC87963"/>
    <w:rsid w:val="4DEB1983"/>
    <w:rsid w:val="4EBD760D"/>
    <w:rsid w:val="4EED2017"/>
    <w:rsid w:val="4F0B2DEE"/>
    <w:rsid w:val="4F2B6097"/>
    <w:rsid w:val="4F2E2211"/>
    <w:rsid w:val="4F4E78CD"/>
    <w:rsid w:val="4FA62E1E"/>
    <w:rsid w:val="4FE85961"/>
    <w:rsid w:val="50341189"/>
    <w:rsid w:val="50837233"/>
    <w:rsid w:val="50850F57"/>
    <w:rsid w:val="514C5668"/>
    <w:rsid w:val="51513799"/>
    <w:rsid w:val="518C29B6"/>
    <w:rsid w:val="51C74469"/>
    <w:rsid w:val="52170DB7"/>
    <w:rsid w:val="5219561D"/>
    <w:rsid w:val="52AA23A8"/>
    <w:rsid w:val="52B7187A"/>
    <w:rsid w:val="53A5465B"/>
    <w:rsid w:val="53B6028C"/>
    <w:rsid w:val="53DB4D25"/>
    <w:rsid w:val="54223F19"/>
    <w:rsid w:val="54392B16"/>
    <w:rsid w:val="54442E65"/>
    <w:rsid w:val="545B2AA1"/>
    <w:rsid w:val="549B5701"/>
    <w:rsid w:val="54A9277D"/>
    <w:rsid w:val="54B06B0D"/>
    <w:rsid w:val="553F16B7"/>
    <w:rsid w:val="558856A9"/>
    <w:rsid w:val="55CA2A9E"/>
    <w:rsid w:val="55E50F1B"/>
    <w:rsid w:val="56530F94"/>
    <w:rsid w:val="565F6886"/>
    <w:rsid w:val="567813BA"/>
    <w:rsid w:val="56BC237C"/>
    <w:rsid w:val="56C00077"/>
    <w:rsid w:val="56CD4B4D"/>
    <w:rsid w:val="56E65062"/>
    <w:rsid w:val="575867DA"/>
    <w:rsid w:val="5798381B"/>
    <w:rsid w:val="58393253"/>
    <w:rsid w:val="585447AE"/>
    <w:rsid w:val="58C11A64"/>
    <w:rsid w:val="58EC4DE1"/>
    <w:rsid w:val="59EC6E24"/>
    <w:rsid w:val="5A0B2520"/>
    <w:rsid w:val="5A186813"/>
    <w:rsid w:val="5A3B2376"/>
    <w:rsid w:val="5A40591F"/>
    <w:rsid w:val="5A6F0692"/>
    <w:rsid w:val="5ABF2E42"/>
    <w:rsid w:val="5B586398"/>
    <w:rsid w:val="5B916903"/>
    <w:rsid w:val="5BEF472E"/>
    <w:rsid w:val="5C82220F"/>
    <w:rsid w:val="5C932202"/>
    <w:rsid w:val="5CC5085F"/>
    <w:rsid w:val="5CC87E6F"/>
    <w:rsid w:val="5CD918EA"/>
    <w:rsid w:val="5D247D3D"/>
    <w:rsid w:val="5DAE1AC9"/>
    <w:rsid w:val="5E153AF5"/>
    <w:rsid w:val="5E293727"/>
    <w:rsid w:val="5E7A2525"/>
    <w:rsid w:val="5F0E1E7F"/>
    <w:rsid w:val="5F112305"/>
    <w:rsid w:val="5F1476E7"/>
    <w:rsid w:val="5F213803"/>
    <w:rsid w:val="5F2767B3"/>
    <w:rsid w:val="5FE31F70"/>
    <w:rsid w:val="60045498"/>
    <w:rsid w:val="614C1844"/>
    <w:rsid w:val="614F46D3"/>
    <w:rsid w:val="617A6C2D"/>
    <w:rsid w:val="618968F0"/>
    <w:rsid w:val="619E6355"/>
    <w:rsid w:val="61BD64DA"/>
    <w:rsid w:val="6215384D"/>
    <w:rsid w:val="62AC06BC"/>
    <w:rsid w:val="633B4987"/>
    <w:rsid w:val="63525D55"/>
    <w:rsid w:val="64C20A08"/>
    <w:rsid w:val="64E24AB9"/>
    <w:rsid w:val="64F06443"/>
    <w:rsid w:val="65597154"/>
    <w:rsid w:val="65737FB9"/>
    <w:rsid w:val="657D23C7"/>
    <w:rsid w:val="65DF5ECF"/>
    <w:rsid w:val="66A662C4"/>
    <w:rsid w:val="67222B8A"/>
    <w:rsid w:val="672C3603"/>
    <w:rsid w:val="679C3353"/>
    <w:rsid w:val="679D182D"/>
    <w:rsid w:val="67BB6396"/>
    <w:rsid w:val="68197E1D"/>
    <w:rsid w:val="685045A6"/>
    <w:rsid w:val="688621C1"/>
    <w:rsid w:val="68C15BDE"/>
    <w:rsid w:val="690130CE"/>
    <w:rsid w:val="699562A3"/>
    <w:rsid w:val="69E95327"/>
    <w:rsid w:val="6AD23ACD"/>
    <w:rsid w:val="6B315A81"/>
    <w:rsid w:val="6C147D92"/>
    <w:rsid w:val="6C3F4637"/>
    <w:rsid w:val="6C9D07C7"/>
    <w:rsid w:val="6CB426A8"/>
    <w:rsid w:val="6D3835CD"/>
    <w:rsid w:val="6DDF18A8"/>
    <w:rsid w:val="6E605C41"/>
    <w:rsid w:val="6E7742D5"/>
    <w:rsid w:val="6E947A29"/>
    <w:rsid w:val="6F2D0209"/>
    <w:rsid w:val="6F940B51"/>
    <w:rsid w:val="701E0D35"/>
    <w:rsid w:val="70C735D1"/>
    <w:rsid w:val="70CB0335"/>
    <w:rsid w:val="717A54B6"/>
    <w:rsid w:val="72A9536C"/>
    <w:rsid w:val="72AF23A1"/>
    <w:rsid w:val="72BF52A3"/>
    <w:rsid w:val="73520170"/>
    <w:rsid w:val="73B32D5B"/>
    <w:rsid w:val="73D506D5"/>
    <w:rsid w:val="742B4374"/>
    <w:rsid w:val="74EA0661"/>
    <w:rsid w:val="75127B2A"/>
    <w:rsid w:val="751C09CF"/>
    <w:rsid w:val="75272590"/>
    <w:rsid w:val="756B70AB"/>
    <w:rsid w:val="759D7389"/>
    <w:rsid w:val="7617390F"/>
    <w:rsid w:val="762D45E7"/>
    <w:rsid w:val="76346231"/>
    <w:rsid w:val="76432C97"/>
    <w:rsid w:val="76472E5B"/>
    <w:rsid w:val="770D50C4"/>
    <w:rsid w:val="773F1B2E"/>
    <w:rsid w:val="776141C0"/>
    <w:rsid w:val="77E37A9C"/>
    <w:rsid w:val="77E71EE7"/>
    <w:rsid w:val="78403651"/>
    <w:rsid w:val="784051C1"/>
    <w:rsid w:val="789E16E5"/>
    <w:rsid w:val="78DB40C6"/>
    <w:rsid w:val="7954401D"/>
    <w:rsid w:val="79547EF1"/>
    <w:rsid w:val="79A24C96"/>
    <w:rsid w:val="79A379A4"/>
    <w:rsid w:val="79CF6531"/>
    <w:rsid w:val="7AE80A7B"/>
    <w:rsid w:val="7B5E14E4"/>
    <w:rsid w:val="7B741965"/>
    <w:rsid w:val="7BBF78B4"/>
    <w:rsid w:val="7BFE30BC"/>
    <w:rsid w:val="7CD24C07"/>
    <w:rsid w:val="7CDD0037"/>
    <w:rsid w:val="7D42415D"/>
    <w:rsid w:val="7D6C2012"/>
    <w:rsid w:val="7D8E6DCC"/>
    <w:rsid w:val="7D8F4D87"/>
    <w:rsid w:val="7DBB66FE"/>
    <w:rsid w:val="7DBE27C1"/>
    <w:rsid w:val="7DCA5F0F"/>
    <w:rsid w:val="7DD27BA7"/>
    <w:rsid w:val="7DF6029C"/>
    <w:rsid w:val="7E1F736F"/>
    <w:rsid w:val="7E366AB8"/>
    <w:rsid w:val="7E53316F"/>
    <w:rsid w:val="7EAF3253"/>
    <w:rsid w:val="7EF60637"/>
    <w:rsid w:val="7F9B365A"/>
    <w:rsid w:val="7FA57776"/>
    <w:rsid w:val="7FC250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styleId="3">
    <w:name w:val="Document Map"/>
    <w:basedOn w:val="1"/>
    <w:semiHidden/>
    <w:qFormat/>
    <w:uiPriority w:val="0"/>
    <w:pPr>
      <w:shd w:val="clear" w:color="auto" w:fill="00008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paragraph" w:customStyle="1" w:styleId="10">
    <w:name w:val="Char"/>
    <w:basedOn w:val="1"/>
    <w:qFormat/>
    <w:uiPriority w:val="0"/>
    <w:rPr>
      <w:rFonts w:ascii="宋体" w:hAnsi="宋体" w:cs="Courier New"/>
      <w:sz w:val="32"/>
      <w:szCs w:val="32"/>
    </w:rPr>
  </w:style>
  <w:style w:type="character" w:customStyle="1" w:styleId="11">
    <w:name w:val="页眉 Char"/>
    <w:link w:val="5"/>
    <w:qFormat/>
    <w:uiPriority w:val="0"/>
    <w:rPr>
      <w:kern w:val="2"/>
      <w:sz w:val="18"/>
      <w:szCs w:val="18"/>
    </w:rPr>
  </w:style>
  <w:style w:type="character" w:customStyle="1" w:styleId="12">
    <w:name w:val="页脚 Char"/>
    <w:link w:val="4"/>
    <w:qFormat/>
    <w:uiPriority w:val="0"/>
    <w:rPr>
      <w:kern w:val="2"/>
      <w:sz w:val="18"/>
      <w:szCs w:val="18"/>
    </w:rPr>
  </w:style>
  <w:style w:type="paragraph" w:customStyle="1" w:styleId="13">
    <w:name w:val="[Normal]"/>
    <w:qFormat/>
    <w:uiPriority w:val="0"/>
    <w:rPr>
      <w:rFonts w:ascii="宋体" w:hAnsi="宋体" w:eastAsia="宋体" w:cs="Times New Roman"/>
      <w:sz w:val="24"/>
      <w:lang w:val="zh-CN" w:eastAsia="zh-CN" w:bidi="ar-SA"/>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xc</Company>
  <Pages>19</Pages>
  <Words>9538</Words>
  <Characters>10303</Characters>
  <Lines>147</Lines>
  <Paragraphs>54</Paragraphs>
  <TotalTime>45</TotalTime>
  <ScaleCrop>false</ScaleCrop>
  <LinksUpToDate>false</LinksUpToDate>
  <CharactersWithSpaces>10331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2020-01-06T08:45:00Z</dcterms:created>
  <dc:creator>dsx</dc:creator>
  <cp:lastModifiedBy>Administrator</cp:lastModifiedBy>
  <dcterms:modified xsi:type="dcterms:W3CDTF">2026-02-11T08:55:59Z</dcterms:modified>
  <dc:title>关于2019年部门预算的批复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EDOID">
    <vt:r8>5838458</vt:r8>
  </property>
  <property fmtid="{D5CDD505-2E9C-101B-9397-08002B2CF9AE}" pid="4" name="ICV">
    <vt:lpwstr>3A8DB4421D634D81A886D87B85768C9A_13</vt:lpwstr>
  </property>
  <property fmtid="{D5CDD505-2E9C-101B-9397-08002B2CF9AE}" pid="5" name="KSOTemplateDocerSaveRecord">
    <vt:lpwstr>eyJoZGlkIjoiMDkyMzBhOWU1ZmQyNTE3YzlkZWViNjFmMzM0OWUyNGQifQ==</vt:lpwstr>
  </property>
</Properties>
</file>