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sz w:val="48"/>
          <w:szCs w:val="48"/>
        </w:rPr>
      </w:pPr>
    </w:p>
    <w:p>
      <w:pPr>
        <w:jc w:val="center"/>
        <w:rPr>
          <w:rFonts w:hint="eastAsia" w:ascii="宋体" w:hAnsi="宋体"/>
          <w:b/>
          <w:color w:val="000000" w:themeColor="text1"/>
          <w:sz w:val="36"/>
          <w:szCs w:val="36"/>
          <w:lang w:eastAsia="zh-CN"/>
        </w:rPr>
      </w:pPr>
      <w:r>
        <w:rPr>
          <w:rFonts w:hint="eastAsia" w:ascii="宋体" w:hAnsi="宋体"/>
          <w:b/>
          <w:color w:val="000000" w:themeColor="text1"/>
          <w:sz w:val="36"/>
          <w:szCs w:val="36"/>
          <w:lang w:eastAsia="zh-CN"/>
        </w:rPr>
        <w:t>衢州学院</w:t>
      </w:r>
    </w:p>
    <w:p>
      <w:pPr>
        <w:jc w:val="center"/>
        <w:rPr>
          <w:rFonts w:hint="eastAsia" w:ascii="宋体" w:hAnsi="宋体"/>
          <w:b/>
          <w:color w:val="000000" w:themeColor="text1"/>
          <w:sz w:val="36"/>
          <w:szCs w:val="36"/>
        </w:rPr>
      </w:pPr>
      <w:r>
        <w:rPr>
          <w:rFonts w:hint="eastAsia" w:ascii="宋体" w:hAnsi="宋体"/>
          <w:b/>
          <w:color w:val="000000" w:themeColor="text1"/>
          <w:sz w:val="36"/>
          <w:szCs w:val="36"/>
        </w:rPr>
        <w:t>教职工</w:t>
      </w:r>
      <w:r>
        <w:rPr>
          <w:rFonts w:hint="eastAsia" w:ascii="宋体" w:hAnsi="宋体"/>
          <w:b/>
          <w:color w:val="000000" w:themeColor="text1"/>
          <w:sz w:val="36"/>
          <w:szCs w:val="36"/>
          <w:lang w:eastAsia="zh-CN"/>
        </w:rPr>
        <w:t>省外</w:t>
      </w:r>
      <w:r>
        <w:rPr>
          <w:rFonts w:hint="eastAsia" w:ascii="宋体" w:hAnsi="宋体"/>
          <w:b/>
          <w:color w:val="000000" w:themeColor="text1"/>
          <w:sz w:val="36"/>
          <w:szCs w:val="36"/>
        </w:rPr>
        <w:t>疗休养定点服务</w:t>
      </w:r>
      <w:r>
        <w:rPr>
          <w:rFonts w:hint="eastAsia" w:ascii="宋体" w:hAnsi="宋体"/>
          <w:b/>
          <w:color w:val="000000" w:themeColor="text1"/>
          <w:sz w:val="36"/>
          <w:szCs w:val="36"/>
          <w:lang w:eastAsia="zh-CN"/>
        </w:rPr>
        <w:t>采购</w:t>
      </w:r>
      <w:r>
        <w:rPr>
          <w:rFonts w:hint="eastAsia" w:ascii="宋体" w:hAnsi="宋体"/>
          <w:b/>
          <w:color w:val="000000" w:themeColor="text1"/>
          <w:sz w:val="36"/>
          <w:szCs w:val="36"/>
        </w:rPr>
        <w:t>项目</w:t>
      </w:r>
    </w:p>
    <w:p>
      <w:pPr>
        <w:jc w:val="center"/>
        <w:rPr>
          <w:rFonts w:ascii="宋体" w:hAnsi="宋体"/>
          <w:b/>
          <w:bCs/>
          <w:color w:val="000000" w:themeColor="text1"/>
          <w:sz w:val="28"/>
          <w:szCs w:val="28"/>
        </w:rPr>
      </w:pPr>
      <w:r>
        <w:rPr>
          <w:rFonts w:hint="eastAsia" w:ascii="宋体" w:hAnsi="宋体"/>
          <w:b/>
          <w:bCs/>
          <w:color w:val="000000" w:themeColor="text1"/>
          <w:sz w:val="28"/>
          <w:szCs w:val="28"/>
        </w:rPr>
        <w:t>（</w:t>
      </w:r>
      <w:r>
        <w:rPr>
          <w:rFonts w:hint="eastAsia" w:ascii="宋体" w:hAnsi="宋体"/>
          <w:b/>
          <w:bCs/>
          <w:color w:val="000000" w:themeColor="text1"/>
          <w:sz w:val="28"/>
          <w:szCs w:val="28"/>
          <w:lang w:val="en-US" w:eastAsia="zh-CN"/>
        </w:rPr>
        <w:t>工会</w:t>
      </w:r>
      <w:r>
        <w:rPr>
          <w:rFonts w:hint="eastAsia" w:ascii="宋体" w:hAnsi="宋体"/>
          <w:b/>
          <w:bCs/>
          <w:color w:val="000000" w:themeColor="text1"/>
          <w:sz w:val="28"/>
          <w:szCs w:val="28"/>
        </w:rPr>
        <w:t>）</w:t>
      </w: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2021年6月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第三章  采购内容及要求</w:t>
      </w:r>
      <w:r>
        <w:rPr>
          <w:rFonts w:hint="eastAsia" w:ascii="宋体" w:hAnsi="宋体"/>
          <w:color w:val="000000"/>
          <w:sz w:val="32"/>
        </w:rPr>
        <w:t>…………………………………1</w:t>
      </w:r>
      <w:r>
        <w:rPr>
          <w:rFonts w:hint="eastAsia" w:ascii="宋体" w:hAnsi="宋体"/>
          <w:color w:val="000000"/>
          <w:sz w:val="32"/>
          <w:lang w:val="en-US" w:eastAsia="zh-CN"/>
        </w:rPr>
        <w:t>5</w:t>
      </w:r>
    </w:p>
    <w:p>
      <w:pPr>
        <w:rPr>
          <w:rFonts w:ascii="宋体" w:hAnsi="宋体"/>
          <w:bCs/>
          <w:color w:val="000000"/>
          <w:sz w:val="32"/>
        </w:rPr>
      </w:pPr>
    </w:p>
    <w:p>
      <w:pPr>
        <w:rPr>
          <w:rFonts w:hint="default"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w:t>
      </w:r>
      <w:r>
        <w:rPr>
          <w:rFonts w:hint="eastAsia" w:ascii="宋体" w:hAnsi="宋体"/>
          <w:color w:val="000000"/>
          <w:sz w:val="32"/>
          <w:lang w:val="en-US" w:eastAsia="zh-CN"/>
        </w:rPr>
        <w:t>17</w:t>
      </w:r>
    </w:p>
    <w:p>
      <w:pPr>
        <w:rPr>
          <w:rFonts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……………………………2</w:t>
      </w:r>
      <w:r>
        <w:rPr>
          <w:rFonts w:hint="eastAsia" w:ascii="宋体" w:hAnsi="宋体"/>
          <w:color w:val="000000"/>
          <w:sz w:val="32"/>
          <w:lang w:val="en-US" w:eastAsia="zh-CN"/>
        </w:rPr>
        <w:t>0</w:t>
      </w:r>
    </w:p>
    <w:p>
      <w:pPr>
        <w:tabs>
          <w:tab w:val="left" w:pos="7200"/>
        </w:tabs>
        <w:rPr>
          <w:rFonts w:ascii="宋体" w:hAnsi="宋体"/>
          <w:bCs/>
          <w:color w:val="000000"/>
          <w:sz w:val="32"/>
        </w:rPr>
      </w:pPr>
    </w:p>
    <w:p>
      <w:pPr>
        <w:rPr>
          <w:rFonts w:hint="eastAsia" w:ascii="宋体" w:hAnsi="宋体" w:eastAsia="宋体"/>
          <w:color w:val="000000"/>
          <w:sz w:val="32"/>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……………………2</w:t>
      </w:r>
      <w:r>
        <w:rPr>
          <w:rFonts w:hint="eastAsia" w:ascii="宋体" w:hAnsi="宋体"/>
          <w:color w:val="000000"/>
          <w:sz w:val="32"/>
          <w:lang w:val="en-US" w:eastAsia="zh-CN"/>
        </w:rPr>
        <w:t>4</w:t>
      </w:r>
    </w:p>
    <w:p>
      <w:pPr>
        <w:pStyle w:val="2"/>
      </w:pPr>
    </w:p>
    <w:p>
      <w:pPr>
        <w:pStyle w:val="2"/>
      </w:pPr>
    </w:p>
    <w:p>
      <w:pPr>
        <w:pStyle w:val="2"/>
      </w:pPr>
    </w:p>
    <w:p>
      <w:pPr>
        <w:pStyle w:val="2"/>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360" w:lineRule="auto"/>
        <w:rPr>
          <w:rFonts w:ascii="宋体" w:hAnsi="宋体"/>
          <w:b/>
          <w:bCs/>
          <w:color w:val="000000"/>
          <w:sz w:val="32"/>
        </w:rPr>
      </w:pPr>
    </w:p>
    <w:p>
      <w:pPr>
        <w:spacing w:line="360" w:lineRule="auto"/>
        <w:jc w:val="center"/>
        <w:rPr>
          <w:rFonts w:ascii="宋体" w:hAnsi="宋体"/>
          <w:b/>
          <w:bCs/>
          <w:color w:val="000000"/>
          <w:sz w:val="32"/>
        </w:rPr>
      </w:pPr>
    </w:p>
    <w:p>
      <w:pPr>
        <w:pStyle w:val="18"/>
        <w:numPr>
          <w:ilvl w:val="0"/>
          <w:numId w:val="1"/>
        </w:numPr>
        <w:spacing w:line="360" w:lineRule="auto"/>
        <w:ind w:firstLineChars="0"/>
        <w:jc w:val="center"/>
        <w:rPr>
          <w:rFonts w:ascii="宋体" w:hAnsi="宋体"/>
          <w:b/>
          <w:bCs/>
          <w:color w:val="000000"/>
          <w:sz w:val="32"/>
        </w:rPr>
      </w:pPr>
      <w:r>
        <w:rPr>
          <w:rFonts w:hint="eastAsia" w:ascii="宋体" w:hAnsi="宋体"/>
          <w:b/>
          <w:bCs/>
          <w:color w:val="000000"/>
          <w:sz w:val="32"/>
        </w:rPr>
        <w:t>招标公告</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color w:val="000000"/>
          <w:sz w:val="24"/>
        </w:rPr>
      </w:pPr>
      <w:r>
        <w:rPr>
          <w:rFonts w:hint="eastAsia" w:ascii="宋体" w:hAnsi="宋体"/>
          <w:bCs/>
          <w:color w:val="000000"/>
          <w:sz w:val="24"/>
          <w:lang w:val="en-US" w:eastAsia="zh-CN"/>
        </w:rPr>
        <w:t xml:space="preserve">    </w:t>
      </w:r>
      <w:r>
        <w:rPr>
          <w:rFonts w:hint="eastAsia" w:ascii="宋体" w:hAnsi="宋体"/>
          <w:bCs/>
          <w:color w:val="000000"/>
          <w:sz w:val="24"/>
        </w:rPr>
        <w:t>根据工作需要，经衢州市财政局审批，现就</w:t>
      </w:r>
      <w:r>
        <w:rPr>
          <w:rFonts w:hint="eastAsia" w:ascii="宋体" w:hAnsi="宋体"/>
          <w:b/>
          <w:bCs w:val="0"/>
          <w:color w:val="000000"/>
          <w:sz w:val="24"/>
        </w:rPr>
        <w:t>衢州学院教职工</w:t>
      </w:r>
      <w:r>
        <w:rPr>
          <w:rFonts w:hint="eastAsia" w:ascii="宋体" w:hAnsi="宋体"/>
          <w:b/>
          <w:bCs w:val="0"/>
          <w:color w:val="000000"/>
          <w:sz w:val="24"/>
          <w:lang w:eastAsia="zh-CN"/>
        </w:rPr>
        <w:t>省外</w:t>
      </w:r>
      <w:r>
        <w:rPr>
          <w:rFonts w:hint="eastAsia" w:ascii="宋体" w:hAnsi="宋体"/>
          <w:b/>
          <w:bCs w:val="0"/>
          <w:color w:val="000000"/>
          <w:sz w:val="24"/>
        </w:rPr>
        <w:t>疗休养定点服务</w:t>
      </w:r>
      <w:r>
        <w:rPr>
          <w:rFonts w:hint="eastAsia" w:ascii="宋体" w:hAnsi="宋体"/>
          <w:b/>
          <w:bCs w:val="0"/>
          <w:color w:val="000000"/>
          <w:sz w:val="24"/>
          <w:lang w:eastAsia="zh-CN"/>
        </w:rPr>
        <w:t>采购</w:t>
      </w:r>
      <w:r>
        <w:rPr>
          <w:rFonts w:hint="eastAsia" w:ascii="宋体" w:hAnsi="宋体"/>
          <w:b/>
          <w:bCs w:val="0"/>
          <w:color w:val="000000"/>
          <w:sz w:val="24"/>
        </w:rPr>
        <w:t>项目</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hint="default" w:ascii="宋体" w:hAnsi="宋体" w:eastAsia="宋体"/>
          <w:b/>
          <w:color w:val="000000"/>
          <w:sz w:val="24"/>
          <w:lang w:val="en-US" w:eastAsia="zh-CN"/>
        </w:rPr>
      </w:pPr>
      <w:r>
        <w:rPr>
          <w:rFonts w:hint="eastAsia" w:ascii="宋体" w:hAnsi="宋体"/>
          <w:b/>
          <w:bCs/>
          <w:color w:val="000000"/>
          <w:sz w:val="24"/>
        </w:rPr>
        <w:t>一、项目编号：</w:t>
      </w:r>
      <w:r>
        <w:rPr>
          <w:rFonts w:hint="eastAsia" w:ascii="宋体" w:hAnsi="宋体"/>
          <w:b/>
          <w:color w:val="000000"/>
          <w:sz w:val="24"/>
        </w:rPr>
        <w:t>衢院招2021-</w:t>
      </w:r>
      <w:r>
        <w:rPr>
          <w:rFonts w:hint="eastAsia" w:ascii="宋体" w:hAnsi="宋体"/>
          <w:b/>
          <w:color w:val="000000"/>
          <w:sz w:val="24"/>
          <w:lang w:val="en-US" w:eastAsia="zh-CN"/>
        </w:rPr>
        <w:t>31</w:t>
      </w:r>
    </w:p>
    <w:p>
      <w:pPr>
        <w:spacing w:line="360" w:lineRule="auto"/>
        <w:ind w:firstLine="495"/>
        <w:rPr>
          <w:rFonts w:hint="eastAsia" w:ascii="宋体" w:hAnsi="宋体"/>
          <w:b/>
          <w:bCs w:val="0"/>
          <w:color w:val="000000"/>
          <w:sz w:val="24"/>
        </w:rPr>
      </w:pPr>
      <w:r>
        <w:rPr>
          <w:rFonts w:hint="eastAsia" w:ascii="宋体" w:hAnsi="宋体"/>
          <w:b/>
          <w:color w:val="000000"/>
          <w:szCs w:val="21"/>
        </w:rPr>
        <w:t>二</w:t>
      </w:r>
      <w:r>
        <w:rPr>
          <w:rFonts w:hint="eastAsia" w:ascii="宋体" w:hAnsi="宋体"/>
          <w:b/>
          <w:bCs/>
          <w:color w:val="000000"/>
          <w:sz w:val="24"/>
        </w:rPr>
        <w:t>、项目名称：</w:t>
      </w:r>
      <w:r>
        <w:rPr>
          <w:rFonts w:hint="eastAsia" w:ascii="宋体" w:hAnsi="宋体"/>
          <w:b/>
          <w:bCs w:val="0"/>
          <w:color w:val="000000"/>
          <w:sz w:val="24"/>
        </w:rPr>
        <w:t>衢州学院教职工</w:t>
      </w:r>
      <w:r>
        <w:rPr>
          <w:rFonts w:hint="eastAsia" w:ascii="宋体" w:hAnsi="宋体"/>
          <w:b/>
          <w:bCs w:val="0"/>
          <w:color w:val="000000"/>
          <w:sz w:val="24"/>
          <w:lang w:eastAsia="zh-CN"/>
        </w:rPr>
        <w:t>省外</w:t>
      </w:r>
      <w:r>
        <w:rPr>
          <w:rFonts w:hint="eastAsia" w:ascii="宋体" w:hAnsi="宋体"/>
          <w:b/>
          <w:bCs w:val="0"/>
          <w:color w:val="000000"/>
          <w:sz w:val="24"/>
        </w:rPr>
        <w:t>疗休养定点服务</w:t>
      </w:r>
      <w:r>
        <w:rPr>
          <w:rFonts w:hint="eastAsia" w:ascii="宋体" w:hAnsi="宋体"/>
          <w:b/>
          <w:bCs w:val="0"/>
          <w:color w:val="000000"/>
          <w:sz w:val="24"/>
          <w:lang w:eastAsia="zh-CN"/>
        </w:rPr>
        <w:t>采购</w:t>
      </w:r>
      <w:r>
        <w:rPr>
          <w:rFonts w:hint="eastAsia" w:ascii="宋体" w:hAnsi="宋体"/>
          <w:b/>
          <w:bCs w:val="0"/>
          <w:color w:val="000000"/>
          <w:sz w:val="24"/>
        </w:rPr>
        <w:t>项目</w:t>
      </w:r>
    </w:p>
    <w:p>
      <w:pPr>
        <w:spacing w:line="360" w:lineRule="auto"/>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4"/>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869"/>
        <w:gridCol w:w="900"/>
        <w:gridCol w:w="2068"/>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4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bCs/>
                <w:color w:val="000000"/>
                <w:sz w:val="24"/>
              </w:rPr>
            </w:pPr>
            <w:r>
              <w:rPr>
                <w:rFonts w:hint="eastAsia" w:ascii="宋体" w:hAnsi="宋体"/>
                <w:bCs/>
                <w:color w:val="000000"/>
                <w:sz w:val="24"/>
              </w:rPr>
              <w:t>教职工疗休养</w:t>
            </w:r>
          </w:p>
          <w:p>
            <w:pPr>
              <w:widowControl/>
              <w:spacing w:line="360" w:lineRule="auto"/>
              <w:ind w:left="60" w:right="60"/>
              <w:jc w:val="center"/>
              <w:rPr>
                <w:rFonts w:ascii="宋体" w:hAnsi="宋体"/>
                <w:color w:val="000000"/>
                <w:sz w:val="24"/>
                <w:highlight w:val="yellow"/>
              </w:rPr>
            </w:pPr>
            <w:r>
              <w:rPr>
                <w:rFonts w:hint="eastAsia" w:ascii="宋体" w:hAnsi="宋体"/>
                <w:bCs/>
                <w:color w:val="000000"/>
                <w:sz w:val="24"/>
              </w:rPr>
              <w:t>定点服务</w:t>
            </w:r>
            <w:r>
              <w:rPr>
                <w:rFonts w:hint="eastAsia" w:ascii="宋体" w:hAnsi="宋体"/>
                <w:bCs/>
                <w:color w:val="000000"/>
                <w:sz w:val="24"/>
                <w:lang w:eastAsia="zh-CN"/>
              </w:rPr>
              <w:t>采购</w:t>
            </w:r>
            <w:r>
              <w:rPr>
                <w:rFonts w:hint="eastAsia" w:ascii="宋体" w:hAnsi="宋体"/>
                <w:bCs/>
                <w:color w:val="000000"/>
                <w:sz w:val="24"/>
              </w:rPr>
              <w:t>（浙江省外地区疗休养）</w:t>
            </w:r>
          </w:p>
        </w:tc>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ascii="宋体" w:hAnsi="宋体" w:cs="宋体"/>
                <w:color w:val="000000"/>
                <w:kern w:val="0"/>
                <w:sz w:val="24"/>
              </w:rPr>
              <w:t>1</w:t>
            </w:r>
          </w:p>
        </w:tc>
        <w:tc>
          <w:tcPr>
            <w:tcW w:w="9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项</w:t>
            </w:r>
          </w:p>
        </w:tc>
        <w:tc>
          <w:tcPr>
            <w:tcW w:w="206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68万元/年</w:t>
            </w:r>
          </w:p>
        </w:tc>
        <w:tc>
          <w:tcPr>
            <w:tcW w:w="260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spacing w:line="360" w:lineRule="auto"/>
        <w:ind w:firstLine="480" w:firstLineChars="200"/>
        <w:rPr>
          <w:rFonts w:ascii="宋体" w:hAnsi="宋体" w:cs="仿宋_GB2312"/>
          <w:sz w:val="24"/>
        </w:rPr>
      </w:pPr>
      <w:r>
        <w:rPr>
          <w:rFonts w:hint="eastAsia" w:ascii="宋体" w:hAnsi="宋体" w:cs="仿宋_GB2312"/>
          <w:sz w:val="24"/>
        </w:rPr>
        <w:t>2.在中华人民共和国境内依法注册的，能承担本项目的投标人。</w:t>
      </w:r>
    </w:p>
    <w:p>
      <w:pPr>
        <w:spacing w:line="360" w:lineRule="auto"/>
        <w:ind w:firstLine="480" w:firstLineChars="200"/>
        <w:rPr>
          <w:rFonts w:hint="eastAsia" w:ascii="宋体" w:hAnsi="宋体" w:cs="仿宋_GB2312"/>
          <w:sz w:val="24"/>
        </w:rPr>
      </w:pPr>
      <w:r>
        <w:rPr>
          <w:rFonts w:hint="eastAsia" w:ascii="宋体" w:hAnsi="宋体" w:cs="仿宋_GB2312"/>
          <w:sz w:val="24"/>
        </w:rPr>
        <w:t>3.单位负责人为同一人或者存在直接控股、管理关系的不同投标人，不得参加同一合同项下的采购活动。</w:t>
      </w:r>
    </w:p>
    <w:p>
      <w:pPr>
        <w:spacing w:line="360" w:lineRule="auto"/>
        <w:ind w:firstLine="480" w:firstLineChars="200"/>
        <w:rPr>
          <w:rFonts w:hint="eastAsia" w:ascii="宋体" w:hAnsi="宋体" w:cs="仿宋_GB2312"/>
          <w:sz w:val="24"/>
        </w:rPr>
      </w:pPr>
      <w:r>
        <w:rPr>
          <w:rFonts w:hint="eastAsia" w:ascii="宋体" w:hAnsi="宋体" w:cs="仿宋_GB2312"/>
          <w:sz w:val="24"/>
        </w:rPr>
        <w:t>4.本项目不接受联合体投标。</w:t>
      </w:r>
    </w:p>
    <w:p>
      <w:pPr>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3"/>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7"/>
        <w:snapToGrid w:val="0"/>
        <w:spacing w:line="360" w:lineRule="auto"/>
        <w:ind w:firstLine="470" w:firstLineChars="196"/>
        <w:rPr>
          <w:rFonts w:hAnsi="宋体" w:cs="仿宋_GB2312"/>
          <w:kern w:val="2"/>
          <w:sz w:val="24"/>
          <w:szCs w:val="24"/>
        </w:rPr>
      </w:pPr>
      <w:r>
        <w:rPr>
          <w:rFonts w:hint="eastAsia" w:hAnsi="宋体" w:cs="仿宋_GB2312"/>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snapToGrid w:val="0"/>
        <w:spacing w:line="360" w:lineRule="auto"/>
        <w:ind w:firstLine="470" w:firstLineChars="196"/>
        <w:rPr>
          <w:rFonts w:hAnsi="宋体" w:cs="仿宋_GB2312"/>
          <w:kern w:val="2"/>
          <w:sz w:val="24"/>
          <w:szCs w:val="24"/>
        </w:rPr>
      </w:pPr>
      <w:r>
        <w:rPr>
          <w:rFonts w:hint="eastAsia" w:hAnsi="宋体" w:cs="仿宋_GB2312"/>
          <w:kern w:val="2"/>
          <w:sz w:val="24"/>
          <w:szCs w:val="24"/>
        </w:rPr>
        <w:t>2.投标人应在开标前完成CA数字证书办理。（办理流程详见：</w:t>
      </w:r>
      <w:r>
        <w:rPr>
          <w:rFonts w:hAnsi="宋体" w:cs="仿宋_GB2312"/>
          <w:kern w:val="2"/>
          <w:sz w:val="24"/>
          <w:szCs w:val="24"/>
        </w:rPr>
        <w:t>http://zfcg.czt.zj.gov.cn/bidClientTemplate/2019-05-27/12945.html</w:t>
      </w:r>
      <w:r>
        <w:rPr>
          <w:rFonts w:hint="eastAsia" w:hAnsi="宋体" w:cs="仿宋_GB2312"/>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sz w:val="24"/>
        </w:rPr>
      </w:pPr>
      <w:r>
        <w:rPr>
          <w:rFonts w:hint="eastAsia" w:asciiTheme="minorEastAsia" w:hAnsiTheme="minorEastAsia" w:eastAsiaTheme="minorEastAsia" w:cstheme="minorEastAsia"/>
          <w:sz w:val="24"/>
        </w:rPr>
        <w:t>3.</w:t>
      </w:r>
      <w:r>
        <w:rPr>
          <w:rFonts w:hint="eastAsia" w:ascii="宋体" w:hAnsi="宋体" w:cs="仿宋_GB2312"/>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Theme="minorEastAsia" w:hAnsiTheme="minorEastAsia" w:eastAsiaTheme="minorEastAsia" w:cstheme="minorEastAsia"/>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sz w:val="24"/>
        </w:rPr>
        <w:t>http://zfcg.czt.zj.gov.cn/bidClientTemplate/2019-09-24/12975.html）</w:t>
      </w:r>
      <w:r>
        <w:rPr>
          <w:rFonts w:hint="eastAsia" w:ascii="宋体" w:hAnsi="宋体" w:cs="仿宋_GB2312"/>
          <w:sz w:val="24"/>
        </w:rPr>
        <w:fldChar w:fldCharType="end"/>
      </w:r>
      <w:r>
        <w:rPr>
          <w:rFonts w:hint="eastAsia" w:ascii="宋体" w:hAnsi="宋体" w:cs="仿宋_GB2312"/>
          <w:sz w:val="24"/>
        </w:rPr>
        <w:t>。</w:t>
      </w:r>
    </w:p>
    <w:p>
      <w:pPr>
        <w:pStyle w:val="13"/>
        <w:spacing w:before="0" w:beforeAutospacing="0" w:after="0" w:afterAutospacing="0" w:line="360" w:lineRule="auto"/>
        <w:ind w:firstLine="482" w:firstLineChars="200"/>
        <w:jc w:val="both"/>
        <w:rPr>
          <w:rFonts w:cs="仿宋_GB2312"/>
          <w:b/>
        </w:rPr>
      </w:pPr>
      <w:r>
        <w:rPr>
          <w:rFonts w:hint="eastAsia" w:cs="仿宋_GB2312"/>
          <w:b/>
        </w:rPr>
        <w:t>七、递交投标文件截止及开标时间：2021年06月</w:t>
      </w:r>
      <w:r>
        <w:rPr>
          <w:rFonts w:hint="eastAsia" w:cs="仿宋_GB2312"/>
          <w:b/>
          <w:color w:val="000000" w:themeColor="text1"/>
          <w:highlight w:val="none"/>
          <w:lang w:val="en-US" w:eastAsia="zh-CN"/>
        </w:rPr>
        <w:t>23</w:t>
      </w:r>
      <w:r>
        <w:rPr>
          <w:rFonts w:hint="eastAsia" w:cs="仿宋_GB2312"/>
          <w:b/>
        </w:rPr>
        <w:t>日</w:t>
      </w:r>
      <w:r>
        <w:rPr>
          <w:rFonts w:hint="eastAsia" w:cs="仿宋_GB2312"/>
          <w:b/>
          <w:lang w:val="en-US" w:eastAsia="zh-CN"/>
        </w:rPr>
        <w:t>14</w:t>
      </w:r>
      <w:r>
        <w:rPr>
          <w:rFonts w:hint="eastAsia" w:cs="仿宋_GB2312"/>
          <w:b/>
        </w:rPr>
        <w:t>:00时（北京时间）</w:t>
      </w:r>
    </w:p>
    <w:p>
      <w:pPr>
        <w:pStyle w:val="7"/>
        <w:snapToGrid w:val="0"/>
        <w:spacing w:line="360" w:lineRule="auto"/>
        <w:ind w:firstLine="470" w:firstLineChars="196"/>
        <w:rPr>
          <w:rFonts w:hAnsi="宋体" w:cs="仿宋_GB2312"/>
          <w:kern w:val="2"/>
          <w:sz w:val="24"/>
          <w:szCs w:val="24"/>
        </w:rPr>
      </w:pPr>
      <w:r>
        <w:rPr>
          <w:rFonts w:hint="eastAsia" w:hAnsi="宋体" w:cs="仿宋_GB2312"/>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sz w:val="24"/>
        </w:rPr>
      </w:pPr>
      <w:r>
        <w:rPr>
          <w:rFonts w:hint="eastAsia" w:ascii="宋体" w:hAnsi="宋体" w:cs="仿宋_GB2312"/>
          <w:sz w:val="24"/>
        </w:rPr>
        <w:t>2.投标人无需到现场投标，但须准时在线参加，直至评审结束。</w:t>
      </w:r>
      <w:r>
        <w:rPr>
          <w:rFonts w:ascii="宋体" w:hAnsi="宋体" w:cs="仿宋_GB2312"/>
          <w:sz w:val="24"/>
        </w:rPr>
        <w:t>投标截止时间后投标人凭CA数字证书登录政采云平台完成投标文件解密。</w:t>
      </w:r>
      <w:r>
        <w:rPr>
          <w:rFonts w:hint="eastAsia" w:ascii="宋体" w:hAnsi="宋体" w:cs="仿宋_GB2312"/>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ascii="宋体" w:hAnsi="宋体" w:cs="宋体"/>
          <w:b/>
          <w:color w:val="000000" w:themeColor="text1"/>
          <w:sz w:val="24"/>
        </w:rPr>
        <w:t>、</w:t>
      </w:r>
      <w:r>
        <w:rPr>
          <w:rFonts w:hint="eastAsia" w:ascii="宋体" w:hAnsi="宋体" w:cs="宋体"/>
          <w:b/>
          <w:bCs/>
          <w:color w:val="000000" w:themeColor="text1"/>
          <w:kern w:val="0"/>
          <w:sz w:val="24"/>
        </w:rPr>
        <w:t>开标地点</w:t>
      </w:r>
    </w:p>
    <w:p>
      <w:pPr>
        <w:snapToGrid w:val="0"/>
        <w:spacing w:line="360" w:lineRule="auto"/>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w:t>
      </w:r>
      <w:r>
        <w:rPr>
          <w:rFonts w:ascii="宋体" w:hAnsi="宋体" w:cs="宋体"/>
          <w:color w:val="000000" w:themeColor="text1"/>
          <w:kern w:val="0"/>
          <w:sz w:val="24"/>
        </w:rPr>
        <w:t>衢州学院开标室（行政楼12</w:t>
      </w:r>
      <w:r>
        <w:rPr>
          <w:rFonts w:hint="eastAsia" w:ascii="宋体" w:hAnsi="宋体" w:cs="宋体"/>
          <w:color w:val="000000" w:themeColor="text1"/>
          <w:kern w:val="0"/>
          <w:sz w:val="24"/>
        </w:rPr>
        <w:t>1</w:t>
      </w:r>
      <w:r>
        <w:rPr>
          <w:rFonts w:ascii="宋体" w:hAnsi="宋体" w:cs="宋体"/>
          <w:color w:val="000000" w:themeColor="text1"/>
          <w:kern w:val="0"/>
          <w:sz w:val="24"/>
        </w:rPr>
        <w:t>室）</w:t>
      </w:r>
      <w:r>
        <w:rPr>
          <w:rFonts w:hint="eastAsia" w:ascii="宋体" w:hAnsi="宋体" w:cs="宋体"/>
          <w:color w:val="000000" w:themeColor="text1"/>
          <w:kern w:val="0"/>
          <w:sz w:val="24"/>
        </w:rPr>
        <w:t>。</w:t>
      </w:r>
    </w:p>
    <w:p>
      <w:pPr>
        <w:pStyle w:val="13"/>
        <w:spacing w:before="0" w:beforeAutospacing="0" w:after="0" w:afterAutospacing="0" w:line="360" w:lineRule="auto"/>
        <w:ind w:firstLine="482" w:firstLineChars="200"/>
        <w:jc w:val="both"/>
        <w:rPr>
          <w:b/>
          <w:color w:val="000000" w:themeColor="text1"/>
        </w:rPr>
      </w:pPr>
      <w:r>
        <w:rPr>
          <w:rFonts w:hint="eastAsia"/>
          <w:b/>
          <w:color w:val="000000" w:themeColor="text1"/>
        </w:rPr>
        <w:t>九、投标保证金</w:t>
      </w:r>
    </w:p>
    <w:p>
      <w:pPr>
        <w:snapToGrid w:val="0"/>
        <w:spacing w:line="360" w:lineRule="auto"/>
        <w:ind w:firstLine="480" w:firstLineChars="200"/>
        <w:rPr>
          <w:rFonts w:ascii="宋体" w:hAnsi="宋体"/>
          <w:color w:val="000000" w:themeColor="text1"/>
          <w:kern w:val="0"/>
          <w:sz w:val="24"/>
        </w:rPr>
      </w:pPr>
      <w:r>
        <w:rPr>
          <w:rFonts w:hint="eastAsia" w:ascii="宋体" w:hAnsi="宋体"/>
          <w:color w:val="000000" w:themeColor="text1"/>
          <w:kern w:val="0"/>
          <w:sz w:val="24"/>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keepNext w:val="0"/>
        <w:keepLines w:val="0"/>
        <w:pageBreakBefore w:val="0"/>
        <w:widowControl/>
        <w:kinsoku/>
        <w:wordWrap/>
        <w:topLinePunct w:val="0"/>
        <w:bidi w:val="0"/>
        <w:spacing w:line="44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w:t>
      </w:r>
      <w:r>
        <w:rPr>
          <w:rFonts w:hint="eastAsia" w:ascii="宋体" w:hAnsi="宋体"/>
          <w:sz w:val="24"/>
        </w:rPr>
        <w:t>015028</w:t>
      </w:r>
      <w:r>
        <w:rPr>
          <w:rFonts w:hint="eastAsia" w:ascii="宋体" w:hAnsi="宋体"/>
          <w:sz w:val="24"/>
          <w:lang w:eastAsia="zh-CN"/>
        </w:rPr>
        <w:t>，</w:t>
      </w:r>
      <w:r>
        <w:rPr>
          <w:rFonts w:hint="eastAsia" w:ascii="宋体" w:hAnsi="宋体"/>
          <w:sz w:val="24"/>
          <w:lang w:val="en-US" w:eastAsia="zh-CN"/>
        </w:rPr>
        <w:t>13567021518</w:t>
      </w:r>
      <w:r>
        <w:rPr>
          <w:rFonts w:ascii="宋体" w:hAnsi="宋体"/>
          <w:sz w:val="24"/>
        </w:rPr>
        <w:t>）</w:t>
      </w:r>
      <w:r>
        <w:rPr>
          <w:rFonts w:ascii="宋体" w:hAnsi="宋体"/>
          <w:kern w:val="0"/>
          <w:sz w:val="24"/>
        </w:rPr>
        <w:t>纪检监察室（</w:t>
      </w:r>
      <w:r>
        <w:rPr>
          <w:rFonts w:hint="eastAsia" w:ascii="宋体" w:hAnsi="宋体"/>
          <w:kern w:val="0"/>
          <w:sz w:val="24"/>
        </w:rPr>
        <w:t>联系人：吴老师，联系电话：0570-8028406</w:t>
      </w:r>
      <w:r>
        <w:rPr>
          <w:rFonts w:hint="eastAsia" w:ascii="宋体" w:hAnsi="宋体"/>
          <w:kern w:val="0"/>
          <w:sz w:val="24"/>
          <w:lang w:eastAsia="zh-CN"/>
        </w:rPr>
        <w:t>，18757008752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衢州市财政局网（http://czj.qz.gov.cn）；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十三、本招标文件由衢州学院采购中心、工会负责解释。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采购中心联系人：周老师；电话：0570-8015042</w:t>
      </w:r>
      <w:r>
        <w:rPr>
          <w:rFonts w:hint="eastAsia" w:ascii="宋体" w:hAnsi="宋体"/>
          <w:bCs/>
          <w:sz w:val="24"/>
          <w:lang w:eastAsia="zh-CN"/>
        </w:rPr>
        <w:t>，</w:t>
      </w:r>
      <w:r>
        <w:rPr>
          <w:rFonts w:hint="eastAsia" w:ascii="宋体" w:hAnsi="宋体"/>
          <w:bCs/>
          <w:sz w:val="24"/>
          <w:lang w:val="en-US" w:eastAsia="zh-CN"/>
        </w:rPr>
        <w:t>18957039862</w:t>
      </w:r>
      <w:r>
        <w:rPr>
          <w:rFonts w:hint="eastAsia" w:ascii="宋体" w:hAnsi="宋体"/>
          <w:bCs/>
          <w:sz w:val="24"/>
        </w:rPr>
        <w:t>。</w:t>
      </w:r>
    </w:p>
    <w:p>
      <w:pPr>
        <w:keepNext w:val="0"/>
        <w:keepLines w:val="0"/>
        <w:pageBreakBefore w:val="0"/>
        <w:kinsoku/>
        <w:wordWrap/>
        <w:topLinePunct w:val="0"/>
        <w:bidi w:val="0"/>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w:t>
      </w:r>
      <w:r>
        <w:rPr>
          <w:rFonts w:hint="eastAsia" w:ascii="宋体" w:hAnsi="宋体"/>
          <w:kern w:val="0"/>
          <w:sz w:val="24"/>
          <w:lang w:eastAsia="zh-CN"/>
        </w:rPr>
        <w:t>：</w:t>
      </w:r>
      <w:r>
        <w:rPr>
          <w:rFonts w:hint="eastAsia" w:ascii="宋体" w:hAnsi="宋体"/>
          <w:kern w:val="0"/>
          <w:sz w:val="24"/>
        </w:rPr>
        <w:t>0570-8015028</w:t>
      </w:r>
      <w:r>
        <w:rPr>
          <w:rFonts w:hint="eastAsia" w:ascii="宋体" w:hAnsi="宋体"/>
          <w:kern w:val="0"/>
          <w:sz w:val="24"/>
          <w:lang w:eastAsia="zh-CN"/>
        </w:rPr>
        <w:t>，</w:t>
      </w:r>
      <w:r>
        <w:rPr>
          <w:rFonts w:hint="eastAsia" w:ascii="宋体" w:hAnsi="宋体"/>
          <w:sz w:val="24"/>
          <w:lang w:val="en-US" w:eastAsia="zh-CN"/>
        </w:rPr>
        <w:t>13567021518</w:t>
      </w:r>
      <w:r>
        <w:rPr>
          <w:rFonts w:hint="eastAsia" w:ascii="宋体" w:hAnsi="宋体"/>
          <w:kern w:val="0"/>
          <w:sz w:val="24"/>
        </w:rPr>
        <w:t>。   </w:t>
      </w:r>
    </w:p>
    <w:p>
      <w:pPr>
        <w:keepNext w:val="0"/>
        <w:keepLines w:val="0"/>
        <w:pageBreakBefore w:val="0"/>
        <w:kinsoku/>
        <w:wordWrap/>
        <w:topLinePunct w:val="0"/>
        <w:bidi w:val="0"/>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：王老师</w:t>
      </w:r>
      <w:r>
        <w:rPr>
          <w:rFonts w:hint="eastAsia" w:ascii="宋体" w:hAnsi="宋体"/>
          <w:kern w:val="0"/>
          <w:sz w:val="24"/>
          <w:lang w:eastAsia="zh-CN"/>
        </w:rPr>
        <w:t>；</w:t>
      </w:r>
      <w:r>
        <w:rPr>
          <w:rFonts w:hint="eastAsia" w:ascii="宋体" w:hAnsi="宋体"/>
          <w:bCs/>
          <w:color w:val="000000"/>
          <w:sz w:val="24"/>
        </w:rPr>
        <w:t>电话：0570-8015116</w:t>
      </w:r>
      <w:r>
        <w:rPr>
          <w:rFonts w:hint="eastAsia" w:ascii="宋体" w:hAnsi="宋体"/>
          <w:bCs/>
          <w:color w:val="000000"/>
          <w:sz w:val="24"/>
          <w:lang w:eastAsia="zh-CN"/>
        </w:rPr>
        <w:t>，18868083289</w:t>
      </w:r>
      <w:r>
        <w:rPr>
          <w:rFonts w:hint="eastAsia" w:ascii="宋体" w:hAnsi="宋体"/>
          <w:bCs/>
          <w:color w:val="000000"/>
          <w:sz w:val="24"/>
        </w:rPr>
        <w:t>。</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firstLine="495"/>
        <w:jc w:val="right"/>
        <w:rPr>
          <w:rFonts w:hint="eastAsia" w:ascii="宋体" w:hAnsi="宋体" w:eastAsia="宋体"/>
          <w:bCs/>
          <w:sz w:val="24"/>
          <w:lang w:val="en-US" w:eastAsia="zh-CN"/>
        </w:rPr>
      </w:pP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衢州学院采购中心</w:t>
      </w:r>
    </w:p>
    <w:p>
      <w:pPr>
        <w:spacing w:line="360" w:lineRule="auto"/>
        <w:ind w:firstLine="495"/>
        <w:jc w:val="right"/>
        <w:rPr>
          <w:rFonts w:ascii="宋体" w:hAnsi="宋体"/>
          <w:bCs/>
          <w:color w:val="000000" w:themeColor="text1"/>
          <w:sz w:val="24"/>
        </w:rPr>
      </w:pPr>
      <w:r>
        <w:rPr>
          <w:rFonts w:hint="eastAsia" w:ascii="宋体" w:hAnsi="宋体"/>
          <w:bCs/>
          <w:color w:val="000000" w:themeColor="text1"/>
          <w:sz w:val="24"/>
        </w:rPr>
        <w:t>2021年6月</w:t>
      </w:r>
      <w:r>
        <w:rPr>
          <w:rFonts w:hint="eastAsia" w:ascii="宋体" w:hAnsi="宋体"/>
          <w:bCs/>
          <w:color w:val="000000" w:themeColor="text1"/>
          <w:sz w:val="24"/>
          <w:lang w:val="en-US" w:eastAsia="zh-CN"/>
        </w:rPr>
        <w:t>2</w:t>
      </w:r>
      <w:r>
        <w:rPr>
          <w:rFonts w:hint="eastAsia" w:ascii="宋体" w:hAnsi="宋体"/>
          <w:bCs/>
          <w:color w:val="000000" w:themeColor="text1"/>
          <w:sz w:val="24"/>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本招标文件仅适用于本次招标采购所叙述的教职工疗休养服务采购。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本项目原则上采用远程异地开评标，供应商无需到开标现场，但须准时在线参加，直至评审结束。</w:t>
      </w:r>
      <w:r>
        <w:rPr>
          <w:rFonts w:ascii="宋体" w:hAnsi="宋体"/>
          <w:sz w:val="24"/>
        </w:rPr>
        <w:t>投标截止时间后投标人凭CA数字证书登录政采云平台完成投标文件解密。</w:t>
      </w:r>
      <w:r>
        <w:rPr>
          <w:rFonts w:hint="eastAsia" w:ascii="宋体" w:hAnsi="宋体"/>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sz w:val="24"/>
        </w:rPr>
      </w:pPr>
      <w:r>
        <w:rPr>
          <w:rFonts w:hint="eastAsia" w:ascii="宋体" w:hAnsi="宋体"/>
          <w:sz w:val="24"/>
        </w:rPr>
        <w:t>2.投标文件为电子投标文件。电子投标文件按照本招标文件和电子交易平台</w:t>
      </w:r>
      <w:r>
        <w:rPr>
          <w:rFonts w:hint="eastAsia" w:ascii="宋体" w:hAnsi="宋体" w:cs="仿宋_GB2312"/>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sz w:val="24"/>
        </w:rPr>
      </w:pPr>
      <w:r>
        <w:rPr>
          <w:rFonts w:hint="eastAsia" w:ascii="宋体" w:hAnsi="宋体"/>
          <w:sz w:val="24"/>
        </w:rPr>
        <w:t>10.电子投标文件中须加盖公章部分均采用CA签章。</w:t>
      </w:r>
    </w:p>
    <w:p>
      <w:pPr>
        <w:spacing w:line="360" w:lineRule="auto"/>
        <w:ind w:firstLine="482" w:firstLineChars="200"/>
        <w:outlineLvl w:val="2"/>
        <w:rPr>
          <w:rFonts w:ascii="宋体" w:hAnsi="宋体"/>
          <w:b/>
          <w:sz w:val="24"/>
        </w:rPr>
      </w:pPr>
      <w:r>
        <w:rPr>
          <w:rFonts w:hint="eastAsia" w:ascii="宋体" w:hAnsi="宋体"/>
          <w:b/>
          <w:sz w:val="24"/>
        </w:rPr>
        <w:t>（二）投标文件的组成</w:t>
      </w:r>
    </w:p>
    <w:p>
      <w:pPr>
        <w:pStyle w:val="7"/>
        <w:snapToGrid w:val="0"/>
        <w:spacing w:line="360" w:lineRule="auto"/>
        <w:ind w:firstLine="482"/>
        <w:rPr>
          <w:rFonts w:hAnsi="宋体"/>
          <w:sz w:val="24"/>
        </w:rPr>
      </w:pPr>
      <w:r>
        <w:rPr>
          <w:rFonts w:hint="eastAsia" w:hAnsi="宋体"/>
          <w:sz w:val="24"/>
        </w:rPr>
        <w:t>▲投标文件（电子投标文件）应分为【资格证明文件】、【商务技术文件】、【报价文件】（本项目按职工疗休养经费标准执行）。</w:t>
      </w:r>
    </w:p>
    <w:p>
      <w:pPr>
        <w:spacing w:line="360" w:lineRule="auto"/>
        <w:ind w:firstLine="482" w:firstLineChars="200"/>
        <w:rPr>
          <w:rFonts w:ascii="宋体" w:hAnsi="宋体"/>
          <w:b/>
          <w:sz w:val="24"/>
        </w:rPr>
      </w:pPr>
      <w:r>
        <w:rPr>
          <w:rFonts w:hint="eastAsia" w:ascii="宋体" w:hAnsi="宋体"/>
          <w:b/>
          <w:sz w:val="24"/>
        </w:rPr>
        <w:t>1.资格证明文件内容</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1"/>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shd w:val="clear" w:color="auto" w:fill="B3B3B3"/>
          </w:tcPr>
          <w:p>
            <w:pPr>
              <w:autoSpaceDE w:val="0"/>
              <w:autoSpaceDN w:val="0"/>
              <w:adjustRightInd w:val="0"/>
              <w:spacing w:line="360" w:lineRule="auto"/>
              <w:jc w:val="center"/>
              <w:rPr>
                <w:rFonts w:ascii="宋体" w:hAnsi="宋体"/>
                <w:sz w:val="24"/>
              </w:rPr>
            </w:pPr>
            <w:r>
              <w:rPr>
                <w:rFonts w:hint="eastAsia" w:ascii="宋体" w:hAnsi="宋体"/>
                <w:sz w:val="24"/>
              </w:rPr>
              <w:t>项目及审核内容</w:t>
            </w:r>
          </w:p>
        </w:tc>
        <w:tc>
          <w:tcPr>
            <w:tcW w:w="1275" w:type="dxa"/>
            <w:shd w:val="clear" w:color="auto" w:fill="B3B3B3"/>
          </w:tcPr>
          <w:p>
            <w:pPr>
              <w:autoSpaceDE w:val="0"/>
              <w:autoSpaceDN w:val="0"/>
              <w:adjustRightInd w:val="0"/>
              <w:spacing w:line="360" w:lineRule="auto"/>
              <w:jc w:val="center"/>
              <w:rPr>
                <w:rFonts w:ascii="宋体" w:hAnsi="宋体"/>
                <w:sz w:val="24"/>
              </w:rPr>
            </w:pPr>
            <w:r>
              <w:rPr>
                <w:rFonts w:hint="eastAsia" w:ascii="宋体" w:hAnsi="宋体"/>
                <w:sz w:val="24"/>
              </w:rPr>
              <w:t>格式</w:t>
            </w:r>
          </w:p>
        </w:tc>
        <w:tc>
          <w:tcPr>
            <w:tcW w:w="1276" w:type="dxa"/>
            <w:shd w:val="clear" w:color="auto" w:fill="B3B3B3"/>
          </w:tcPr>
          <w:p>
            <w:pPr>
              <w:autoSpaceDE w:val="0"/>
              <w:autoSpaceDN w:val="0"/>
              <w:adjustRightInd w:val="0"/>
              <w:spacing w:line="360" w:lineRule="auto"/>
              <w:jc w:val="center"/>
              <w:rPr>
                <w:rFonts w:ascii="宋体" w:hAnsi="宋体"/>
                <w:sz w:val="24"/>
              </w:rPr>
            </w:pPr>
            <w:r>
              <w:rPr>
                <w:rFonts w:ascii="宋体" w:hAnsi="宋体"/>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资格证明文件封面</w:t>
            </w:r>
          </w:p>
        </w:tc>
        <w:tc>
          <w:tcPr>
            <w:tcW w:w="1275"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1.有效的营业执照副本扫描件</w:t>
            </w:r>
          </w:p>
        </w:tc>
        <w:tc>
          <w:tcPr>
            <w:tcW w:w="1275"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2.旅行社业务经营许可证扫描件</w:t>
            </w:r>
          </w:p>
        </w:tc>
        <w:tc>
          <w:tcPr>
            <w:tcW w:w="1275"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vAlign w:val="center"/>
          </w:tcPr>
          <w:p>
            <w:pPr>
              <w:autoSpaceDE w:val="0"/>
              <w:autoSpaceDN w:val="0"/>
              <w:adjustRightInd w:val="0"/>
              <w:spacing w:line="360" w:lineRule="auto"/>
              <w:rPr>
                <w:rFonts w:ascii="宋体" w:hAnsi="宋体"/>
                <w:sz w:val="24"/>
                <w:highlight w:val="yellow"/>
              </w:rPr>
            </w:pPr>
            <w:r>
              <w:rPr>
                <w:rFonts w:hint="eastAsia" w:ascii="宋体" w:hAnsi="宋体"/>
                <w:sz w:val="24"/>
              </w:rPr>
              <w:t>3.企业星级评定情况扫描件。</w:t>
            </w:r>
          </w:p>
        </w:tc>
        <w:tc>
          <w:tcPr>
            <w:tcW w:w="1275" w:type="dxa"/>
            <w:vAlign w:val="center"/>
          </w:tcPr>
          <w:p>
            <w:pPr>
              <w:autoSpaceDE w:val="0"/>
              <w:autoSpaceDN w:val="0"/>
              <w:adjustRightInd w:val="0"/>
              <w:spacing w:line="360" w:lineRule="auto"/>
              <w:jc w:val="center"/>
              <w:rPr>
                <w:rFonts w:ascii="宋体" w:hAnsi="宋体"/>
                <w:sz w:val="24"/>
              </w:rPr>
            </w:pPr>
          </w:p>
        </w:tc>
        <w:tc>
          <w:tcPr>
            <w:tcW w:w="127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▲4.法定代表人授权委托书</w:t>
            </w:r>
          </w:p>
        </w:tc>
        <w:tc>
          <w:tcPr>
            <w:tcW w:w="1275" w:type="dxa"/>
          </w:tcPr>
          <w:p>
            <w:pPr>
              <w:autoSpaceDE w:val="0"/>
              <w:autoSpaceDN w:val="0"/>
              <w:adjustRightInd w:val="0"/>
              <w:spacing w:line="360" w:lineRule="auto"/>
              <w:jc w:val="center"/>
              <w:rPr>
                <w:rFonts w:ascii="宋体" w:hAnsi="宋体"/>
                <w:sz w:val="24"/>
              </w:rPr>
            </w:pPr>
            <w:r>
              <w:rPr>
                <w:rFonts w:hint="eastAsia" w:ascii="宋体" w:hAnsi="宋体"/>
                <w:sz w:val="24"/>
              </w:rPr>
              <w:t>格式三</w:t>
            </w: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5.法定代表人身份证复印件</w:t>
            </w:r>
          </w:p>
        </w:tc>
        <w:tc>
          <w:tcPr>
            <w:tcW w:w="1275"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6.被授权人身份证复印件</w:t>
            </w:r>
          </w:p>
        </w:tc>
        <w:tc>
          <w:tcPr>
            <w:tcW w:w="1275"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7.投标函</w:t>
            </w:r>
          </w:p>
        </w:tc>
        <w:tc>
          <w:tcPr>
            <w:tcW w:w="1275" w:type="dxa"/>
          </w:tcPr>
          <w:p>
            <w:pPr>
              <w:autoSpaceDE w:val="0"/>
              <w:autoSpaceDN w:val="0"/>
              <w:adjustRightInd w:val="0"/>
              <w:spacing w:line="360" w:lineRule="auto"/>
              <w:jc w:val="center"/>
              <w:rPr>
                <w:rFonts w:ascii="宋体" w:hAnsi="宋体"/>
                <w:sz w:val="24"/>
              </w:rPr>
            </w:pPr>
            <w:r>
              <w:rPr>
                <w:rFonts w:hint="eastAsia" w:ascii="宋体" w:hAnsi="宋体"/>
                <w:sz w:val="24"/>
              </w:rPr>
              <w:t>格式二</w:t>
            </w: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71" w:type="dxa"/>
          </w:tcPr>
          <w:p>
            <w:pPr>
              <w:autoSpaceDE w:val="0"/>
              <w:autoSpaceDN w:val="0"/>
              <w:adjustRightInd w:val="0"/>
              <w:spacing w:line="360" w:lineRule="auto"/>
              <w:rPr>
                <w:rFonts w:ascii="宋体" w:hAnsi="宋体"/>
                <w:sz w:val="24"/>
              </w:rPr>
            </w:pPr>
            <w:r>
              <w:rPr>
                <w:rFonts w:hint="eastAsia" w:ascii="宋体" w:hAnsi="宋体"/>
                <w:sz w:val="24"/>
              </w:rPr>
              <w:t>8.有效期内旅行社责任险保额证明</w:t>
            </w:r>
          </w:p>
        </w:tc>
        <w:tc>
          <w:tcPr>
            <w:tcW w:w="1275" w:type="dxa"/>
          </w:tcPr>
          <w:p>
            <w:pPr>
              <w:autoSpaceDE w:val="0"/>
              <w:autoSpaceDN w:val="0"/>
              <w:adjustRightInd w:val="0"/>
              <w:spacing w:line="360" w:lineRule="auto"/>
              <w:jc w:val="center"/>
              <w:rPr>
                <w:rFonts w:ascii="宋体" w:hAnsi="宋体"/>
                <w:sz w:val="24"/>
              </w:rPr>
            </w:pPr>
          </w:p>
        </w:tc>
        <w:tc>
          <w:tcPr>
            <w:tcW w:w="1276" w:type="dxa"/>
          </w:tcPr>
          <w:p>
            <w:pPr>
              <w:autoSpaceDE w:val="0"/>
              <w:autoSpaceDN w:val="0"/>
              <w:adjustRightInd w:val="0"/>
              <w:spacing w:line="360" w:lineRule="auto"/>
              <w:jc w:val="center"/>
              <w:rPr>
                <w:rFonts w:ascii="宋体" w:hAnsi="宋体"/>
                <w:sz w:val="24"/>
              </w:rPr>
            </w:pPr>
            <w:r>
              <w:rPr>
                <w:rFonts w:hint="eastAsia" w:ascii="宋体" w:hAnsi="宋体"/>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1" w:type="dxa"/>
          </w:tcPr>
          <w:p>
            <w:pPr>
              <w:autoSpaceDE w:val="0"/>
              <w:autoSpaceDN w:val="0"/>
              <w:adjustRightInd w:val="0"/>
              <w:spacing w:line="360" w:lineRule="auto"/>
              <w:rPr>
                <w:rFonts w:ascii="宋体" w:hAnsi="宋体"/>
                <w:sz w:val="24"/>
              </w:rPr>
            </w:pPr>
            <w:r>
              <w:rPr>
                <w:rFonts w:hint="eastAsia" w:ascii="宋体" w:hAnsi="宋体" w:cs="仿宋_GB2312"/>
                <w:sz w:val="24"/>
              </w:rPr>
              <w:t>9.其它(投标人认为需投递的其他资格证明文件)</w:t>
            </w:r>
          </w:p>
        </w:tc>
        <w:tc>
          <w:tcPr>
            <w:tcW w:w="1275" w:type="dxa"/>
            <w:vAlign w:val="center"/>
          </w:tcPr>
          <w:p>
            <w:pPr>
              <w:autoSpaceDE w:val="0"/>
              <w:autoSpaceDN w:val="0"/>
              <w:adjustRightInd w:val="0"/>
              <w:spacing w:line="360" w:lineRule="auto"/>
              <w:jc w:val="center"/>
              <w:rPr>
                <w:rFonts w:ascii="宋体" w:hAnsi="宋体"/>
                <w:sz w:val="24"/>
              </w:rPr>
            </w:pPr>
          </w:p>
        </w:tc>
        <w:tc>
          <w:tcPr>
            <w:tcW w:w="127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1-10</w:t>
            </w:r>
          </w:p>
        </w:tc>
      </w:tr>
    </w:tbl>
    <w:p>
      <w:pPr>
        <w:spacing w:line="360" w:lineRule="auto"/>
        <w:ind w:firstLine="241" w:firstLineChars="100"/>
        <w:rPr>
          <w:rFonts w:ascii="宋体" w:hAnsi="宋体"/>
          <w:b/>
          <w:sz w:val="24"/>
        </w:rPr>
      </w:pPr>
      <w:r>
        <w:rPr>
          <w:rFonts w:hint="eastAsia" w:ascii="宋体" w:hAnsi="宋体"/>
          <w:b/>
          <w:sz w:val="24"/>
        </w:rPr>
        <w:t>2.商务技术文件内容</w:t>
      </w:r>
    </w:p>
    <w:tbl>
      <w:tblPr>
        <w:tblStyle w:val="14"/>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7"/>
        <w:gridCol w:w="1276"/>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5837"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项目及审核内容</w:t>
            </w:r>
          </w:p>
        </w:tc>
        <w:tc>
          <w:tcPr>
            <w:tcW w:w="1276"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格式</w:t>
            </w:r>
          </w:p>
        </w:tc>
        <w:tc>
          <w:tcPr>
            <w:tcW w:w="2209"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37" w:type="dxa"/>
            <w:vAlign w:val="center"/>
          </w:tcPr>
          <w:p>
            <w:pPr>
              <w:autoSpaceDE w:val="0"/>
              <w:autoSpaceDN w:val="0"/>
              <w:adjustRightInd w:val="0"/>
              <w:spacing w:line="360" w:lineRule="auto"/>
              <w:rPr>
                <w:rFonts w:ascii="宋体" w:hAnsi="宋体"/>
                <w:sz w:val="24"/>
              </w:rPr>
            </w:pPr>
            <w:r>
              <w:rPr>
                <w:rFonts w:hint="eastAsia" w:ascii="宋体" w:hAnsi="宋体"/>
                <w:sz w:val="24"/>
              </w:rPr>
              <w:t>1.商务</w:t>
            </w:r>
            <w:r>
              <w:rPr>
                <w:rFonts w:ascii="宋体" w:hAnsi="宋体"/>
                <w:sz w:val="24"/>
              </w:rPr>
              <w:t>技术文件封面</w:t>
            </w:r>
          </w:p>
        </w:tc>
        <w:tc>
          <w:tcPr>
            <w:tcW w:w="1276" w:type="dxa"/>
            <w:vAlign w:val="center"/>
          </w:tcPr>
          <w:p>
            <w:pPr>
              <w:autoSpaceDE w:val="0"/>
              <w:autoSpaceDN w:val="0"/>
              <w:adjustRightInd w:val="0"/>
              <w:spacing w:line="360" w:lineRule="auto"/>
              <w:jc w:val="center"/>
              <w:rPr>
                <w:rFonts w:ascii="宋体" w:hAnsi="宋体"/>
                <w:sz w:val="24"/>
              </w:rPr>
            </w:pPr>
            <w:r>
              <w:rPr>
                <w:rFonts w:ascii="宋体" w:hAnsi="宋体"/>
                <w:sz w:val="24"/>
              </w:rPr>
              <w:t>格式</w:t>
            </w:r>
            <w:r>
              <w:rPr>
                <w:rFonts w:hint="eastAsia" w:ascii="宋体" w:hAnsi="宋体"/>
                <w:sz w:val="24"/>
              </w:rPr>
              <w:t>一</w:t>
            </w:r>
          </w:p>
        </w:tc>
        <w:tc>
          <w:tcPr>
            <w:tcW w:w="2209" w:type="dxa"/>
            <w:vAlign w:val="center"/>
          </w:tcPr>
          <w:p>
            <w:pPr>
              <w:autoSpaceDE w:val="0"/>
              <w:autoSpaceDN w:val="0"/>
              <w:adjustRightInd w:val="0"/>
              <w:spacing w:line="360" w:lineRule="auto"/>
              <w:jc w:val="center"/>
              <w:rPr>
                <w:rFonts w:ascii="宋体" w:hAnsi="宋体"/>
                <w:sz w:val="24"/>
              </w:rPr>
            </w:pPr>
            <w:r>
              <w:rPr>
                <w:rFonts w:ascii="宋体" w:hAnsi="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837" w:type="dxa"/>
            <w:vAlign w:val="center"/>
          </w:tcPr>
          <w:p>
            <w:pPr>
              <w:autoSpaceDE w:val="0"/>
              <w:autoSpaceDN w:val="0"/>
              <w:adjustRightInd w:val="0"/>
              <w:spacing w:line="360" w:lineRule="auto"/>
              <w:rPr>
                <w:rFonts w:ascii="宋体" w:hAnsi="宋体"/>
                <w:sz w:val="24"/>
              </w:rPr>
            </w:pPr>
            <w:r>
              <w:rPr>
                <w:rFonts w:hint="eastAsia" w:ascii="宋体" w:hAnsi="宋体"/>
                <w:sz w:val="24"/>
              </w:rPr>
              <w:t>2.投标人的基本情况、管理和业务队伍等</w:t>
            </w:r>
          </w:p>
        </w:tc>
        <w:tc>
          <w:tcPr>
            <w:tcW w:w="1276" w:type="dxa"/>
            <w:vAlign w:val="center"/>
          </w:tcPr>
          <w:p>
            <w:pPr>
              <w:autoSpaceDE w:val="0"/>
              <w:autoSpaceDN w:val="0"/>
              <w:adjustRightInd w:val="0"/>
              <w:spacing w:line="360" w:lineRule="auto"/>
              <w:jc w:val="center"/>
              <w:rPr>
                <w:rFonts w:ascii="宋体" w:hAnsi="宋体"/>
                <w:sz w:val="24"/>
              </w:rPr>
            </w:pPr>
          </w:p>
        </w:tc>
        <w:tc>
          <w:tcPr>
            <w:tcW w:w="2209"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tcPr>
          <w:p>
            <w:pPr>
              <w:autoSpaceDE w:val="0"/>
              <w:autoSpaceDN w:val="0"/>
              <w:adjustRightInd w:val="0"/>
              <w:spacing w:line="360" w:lineRule="auto"/>
              <w:rPr>
                <w:rFonts w:ascii="宋体" w:hAnsi="宋体"/>
                <w:sz w:val="24"/>
              </w:rPr>
            </w:pPr>
            <w:r>
              <w:rPr>
                <w:rFonts w:hint="eastAsia" w:ascii="宋体" w:hAnsi="宋体"/>
                <w:sz w:val="24"/>
              </w:rPr>
              <w:t>3.详细的项目技术方案：采购需求响应，</w:t>
            </w:r>
            <w:r>
              <w:rPr>
                <w:rFonts w:hint="eastAsia" w:ascii="宋体" w:hAnsi="宋体"/>
                <w:sz w:val="24"/>
                <w:szCs w:val="28"/>
              </w:rPr>
              <w:t>吉林省公主岭市、新疆阿克苏地区乌什县、安徽省黄山市、福建省南平市疗休养服务方案</w:t>
            </w:r>
            <w:r>
              <w:rPr>
                <w:rFonts w:hint="eastAsia" w:ascii="宋体" w:hAnsi="宋体"/>
                <w:sz w:val="24"/>
              </w:rPr>
              <w:t>各1项和</w:t>
            </w:r>
            <w:r>
              <w:rPr>
                <w:rFonts w:hint="eastAsia" w:ascii="宋体" w:hAnsi="宋体" w:cs="仿宋_GB2312"/>
                <w:bCs/>
                <w:sz w:val="24"/>
              </w:rPr>
              <w:t>推荐优质路线方案2项，</w:t>
            </w:r>
            <w:r>
              <w:rPr>
                <w:rFonts w:hint="eastAsia" w:ascii="宋体" w:hAnsi="宋体"/>
                <w:sz w:val="24"/>
              </w:rPr>
              <w:t>服务方案包括景点安排、交通工具、伙食安排、住宿安排等。</w:t>
            </w:r>
          </w:p>
        </w:tc>
        <w:tc>
          <w:tcPr>
            <w:tcW w:w="1276" w:type="dxa"/>
            <w:vAlign w:val="center"/>
          </w:tcPr>
          <w:p>
            <w:pPr>
              <w:autoSpaceDE w:val="0"/>
              <w:autoSpaceDN w:val="0"/>
              <w:adjustRightInd w:val="0"/>
              <w:spacing w:line="360" w:lineRule="auto"/>
              <w:jc w:val="center"/>
              <w:rPr>
                <w:rFonts w:ascii="宋体" w:hAnsi="宋体"/>
                <w:sz w:val="24"/>
              </w:rPr>
            </w:pPr>
          </w:p>
        </w:tc>
        <w:tc>
          <w:tcPr>
            <w:tcW w:w="2209"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tcPr>
          <w:p>
            <w:pPr>
              <w:autoSpaceDE w:val="0"/>
              <w:autoSpaceDN w:val="0"/>
              <w:adjustRightInd w:val="0"/>
              <w:spacing w:line="360" w:lineRule="auto"/>
              <w:rPr>
                <w:rFonts w:ascii="宋体" w:hAnsi="宋体"/>
                <w:color w:val="000000"/>
                <w:sz w:val="24"/>
              </w:rPr>
            </w:pPr>
            <w:r>
              <w:rPr>
                <w:rFonts w:hint="eastAsia" w:ascii="宋体" w:hAnsi="宋体"/>
                <w:color w:val="000000"/>
                <w:sz w:val="24"/>
              </w:rPr>
              <w:t>4.服务承诺</w:t>
            </w:r>
          </w:p>
        </w:tc>
        <w:tc>
          <w:tcPr>
            <w:tcW w:w="127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2209"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tcPr>
          <w:p>
            <w:pPr>
              <w:autoSpaceDE w:val="0"/>
              <w:autoSpaceDN w:val="0"/>
              <w:adjustRightInd w:val="0"/>
              <w:spacing w:line="360" w:lineRule="auto"/>
              <w:rPr>
                <w:rFonts w:ascii="宋体" w:hAnsi="宋体"/>
                <w:color w:val="000000"/>
                <w:sz w:val="24"/>
              </w:rPr>
            </w:pPr>
            <w:r>
              <w:rPr>
                <w:rFonts w:hint="eastAsia" w:ascii="宋体" w:hAnsi="宋体"/>
                <w:color w:val="000000"/>
                <w:sz w:val="24"/>
              </w:rPr>
              <w:t>5.投标人同类项目实施一览表，提供2018年1月1日以来（以合同签订时间为准）实施的机关或事业单位同类职工疗休养项目合同扫描件。</w:t>
            </w:r>
          </w:p>
        </w:tc>
        <w:tc>
          <w:tcPr>
            <w:tcW w:w="127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格式六</w:t>
            </w:r>
          </w:p>
        </w:tc>
        <w:tc>
          <w:tcPr>
            <w:tcW w:w="2209"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837" w:type="dxa"/>
          </w:tcPr>
          <w:p>
            <w:pPr>
              <w:snapToGrid w:val="0"/>
              <w:spacing w:line="360" w:lineRule="auto"/>
              <w:rPr>
                <w:rFonts w:ascii="宋体" w:hAnsi="宋体"/>
                <w:b/>
                <w:bCs/>
                <w:color w:val="000000"/>
                <w:kern w:val="0"/>
                <w:sz w:val="36"/>
                <w:szCs w:val="36"/>
                <w:lang w:val="zh-CN"/>
              </w:rPr>
            </w:pPr>
            <w:r>
              <w:rPr>
                <w:rFonts w:hint="eastAsia" w:ascii="宋体" w:hAnsi="宋体"/>
                <w:color w:val="000000"/>
                <w:sz w:val="24"/>
              </w:rPr>
              <w:t>6.投标人拟投入本项目的服务团队人员表:包括资历、工作经验和参与人数、荣誉职称等（附社保、职称证书等佐证材料）</w:t>
            </w:r>
          </w:p>
        </w:tc>
        <w:tc>
          <w:tcPr>
            <w:tcW w:w="127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2209"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7" w:type="dxa"/>
          </w:tcPr>
          <w:p>
            <w:pPr>
              <w:autoSpaceDE w:val="0"/>
              <w:autoSpaceDN w:val="0"/>
              <w:adjustRightInd w:val="0"/>
              <w:spacing w:line="360" w:lineRule="auto"/>
              <w:rPr>
                <w:rFonts w:ascii="宋体" w:hAnsi="宋体"/>
                <w:color w:val="000000"/>
                <w:sz w:val="24"/>
              </w:rPr>
            </w:pPr>
            <w:r>
              <w:rPr>
                <w:rFonts w:ascii="宋体" w:hAnsi="宋体"/>
                <w:color w:val="000000"/>
                <w:sz w:val="24"/>
              </w:rPr>
              <w:t>7</w:t>
            </w:r>
            <w:r>
              <w:rPr>
                <w:rFonts w:hint="eastAsia" w:ascii="宋体" w:hAnsi="宋体"/>
                <w:color w:val="000000"/>
                <w:sz w:val="24"/>
              </w:rPr>
              <w:t>.安全保障及其他延伸服务</w:t>
            </w:r>
          </w:p>
        </w:tc>
        <w:tc>
          <w:tcPr>
            <w:tcW w:w="1276" w:type="dxa"/>
            <w:vAlign w:val="center"/>
          </w:tcPr>
          <w:p>
            <w:pPr>
              <w:autoSpaceDE w:val="0"/>
              <w:autoSpaceDN w:val="0"/>
              <w:adjustRightInd w:val="0"/>
              <w:spacing w:line="360" w:lineRule="auto"/>
              <w:jc w:val="center"/>
              <w:rPr>
                <w:rFonts w:ascii="宋体" w:hAnsi="宋体"/>
                <w:color w:val="000000"/>
                <w:sz w:val="24"/>
              </w:rPr>
            </w:pPr>
          </w:p>
        </w:tc>
        <w:tc>
          <w:tcPr>
            <w:tcW w:w="2209"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8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8.</w:t>
            </w:r>
            <w:r>
              <w:rPr>
                <w:rFonts w:ascii="宋体" w:hAnsi="宋体"/>
                <w:color w:val="000000"/>
                <w:sz w:val="24"/>
              </w:rPr>
              <w:t>投标人认为有必要提供的其它资料</w:t>
            </w:r>
          </w:p>
        </w:tc>
        <w:tc>
          <w:tcPr>
            <w:tcW w:w="1276" w:type="dxa"/>
            <w:vAlign w:val="center"/>
          </w:tcPr>
          <w:p>
            <w:pPr>
              <w:autoSpaceDE w:val="0"/>
              <w:autoSpaceDN w:val="0"/>
              <w:adjustRightInd w:val="0"/>
              <w:spacing w:line="360" w:lineRule="auto"/>
              <w:jc w:val="center"/>
              <w:rPr>
                <w:rFonts w:ascii="宋体" w:hAnsi="宋体"/>
                <w:color w:val="000000"/>
                <w:sz w:val="24"/>
              </w:rPr>
            </w:pPr>
          </w:p>
        </w:tc>
        <w:tc>
          <w:tcPr>
            <w:tcW w:w="2209"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2-8</w:t>
            </w:r>
          </w:p>
        </w:tc>
      </w:tr>
    </w:tbl>
    <w:p>
      <w:pPr>
        <w:spacing w:line="360" w:lineRule="auto"/>
        <w:ind w:firstLine="482" w:firstLineChars="200"/>
        <w:rPr>
          <w:rFonts w:ascii="宋体" w:hAnsi="宋体"/>
          <w:b/>
          <w:sz w:val="24"/>
        </w:rPr>
      </w:pPr>
      <w:r>
        <w:rPr>
          <w:rFonts w:hint="eastAsia" w:ascii="宋体" w:hAnsi="宋体"/>
          <w:b/>
          <w:sz w:val="24"/>
        </w:rPr>
        <w:t>3.报价文件内容</w:t>
      </w:r>
    </w:p>
    <w:tbl>
      <w:tblPr>
        <w:tblStyle w:val="14"/>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9" w:type="dxa"/>
          </w:tcPr>
          <w:p>
            <w:pPr>
              <w:tabs>
                <w:tab w:val="center" w:pos="4156"/>
              </w:tabs>
              <w:autoSpaceDE w:val="0"/>
              <w:autoSpaceDN w:val="0"/>
              <w:adjustRightInd w:val="0"/>
              <w:spacing w:line="360" w:lineRule="auto"/>
              <w:rPr>
                <w:rFonts w:ascii="宋体" w:hAnsi="宋体"/>
                <w:sz w:val="24"/>
              </w:rPr>
            </w:pPr>
            <w:r>
              <w:rPr>
                <w:rFonts w:hint="eastAsia" w:ascii="宋体" w:hAnsi="宋体"/>
                <w:sz w:val="24"/>
              </w:rPr>
              <w:t>▲1. 开标一览表。具体报价见格式七-报价一览表（固定报价）</w:t>
            </w:r>
            <w:r>
              <w:rPr>
                <w:rFonts w:hint="eastAsia" w:ascii="宋体" w:hAnsi="宋体"/>
                <w:sz w:val="24"/>
                <w:lang w:eastAsia="zh-CN"/>
              </w:rPr>
              <w:t>，</w:t>
            </w:r>
            <w:r>
              <w:rPr>
                <w:rFonts w:hint="eastAsia" w:ascii="宋体" w:hAnsi="宋体"/>
                <w:sz w:val="24"/>
              </w:rPr>
              <w:t>所有价格均为人民币报价。</w:t>
            </w:r>
          </w:p>
        </w:tc>
        <w:tc>
          <w:tcPr>
            <w:tcW w:w="1197"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格式七</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sz w:val="24"/>
                <w:lang w:val="en-US" w:eastAsia="zh-CN"/>
              </w:rPr>
              <w:t>2</w:t>
            </w:r>
            <w:r>
              <w:rPr>
                <w:rFonts w:hint="eastAsia"/>
                <w:sz w:val="24"/>
              </w:rPr>
              <w:t>.</w:t>
            </w:r>
            <w:r>
              <w:rPr>
                <w:rFonts w:hint="eastAsia" w:cs="Times New Roman" w:asciiTheme="minorEastAsia" w:hAnsiTheme="minorEastAsia" w:eastAsiaTheme="minorEastAsia"/>
                <w:b/>
                <w:bCs/>
                <w:kern w:val="2"/>
                <w:sz w:val="24"/>
                <w:szCs w:val="24"/>
                <w:lang w:val="en-US" w:eastAsia="zh-CN" w:bidi="ar-SA"/>
              </w:rPr>
              <w:t>对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rFonts w:hint="eastAsia" w:eastAsia="宋体"/>
                <w:sz w:val="24"/>
                <w:lang w:eastAsia="zh-CN"/>
              </w:rPr>
            </w:pPr>
            <w:r>
              <w:rPr>
                <w:rFonts w:hint="eastAsia"/>
                <w:sz w:val="24"/>
              </w:rPr>
              <w:t>格式</w:t>
            </w:r>
            <w:r>
              <w:rPr>
                <w:rFonts w:hint="eastAsia"/>
                <w:sz w:val="24"/>
                <w:lang w:eastAsia="zh-CN"/>
              </w:rPr>
              <w:t>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hint="eastAsia" w:ascii="宋体" w:hAnsi="宋体" w:eastAsia="宋体"/>
                <w:sz w:val="24"/>
                <w:lang w:eastAsia="zh-CN"/>
              </w:rPr>
            </w:pPr>
            <w:r>
              <w:rPr>
                <w:rFonts w:hint="eastAsia"/>
                <w:sz w:val="24"/>
              </w:rPr>
              <w:t>格式</w:t>
            </w:r>
            <w:r>
              <w:rPr>
                <w:rFonts w:hint="eastAsia"/>
                <w:sz w:val="24"/>
                <w:lang w:eastAsia="zh-CN"/>
              </w:rPr>
              <w:t>十</w:t>
            </w:r>
          </w:p>
        </w:tc>
        <w:tc>
          <w:tcPr>
            <w:tcW w:w="1201" w:type="dxa"/>
            <w:vAlign w:val="center"/>
          </w:tcPr>
          <w:p>
            <w:pPr>
              <w:autoSpaceDE w:val="0"/>
              <w:autoSpaceDN w:val="0"/>
              <w:adjustRightInd w:val="0"/>
              <w:spacing w:line="360" w:lineRule="auto"/>
              <w:jc w:val="center"/>
              <w:rPr>
                <w:rFonts w:hint="eastAsia" w:ascii="宋体" w:hAnsi="宋体" w:eastAsia="宋体" w:cs="宋体"/>
                <w:sz w:val="24"/>
                <w:lang w:val="en-US" w:eastAsia="zh-CN"/>
              </w:rPr>
            </w:pPr>
            <w:r>
              <w:rPr>
                <w:rFonts w:hint="eastAsia" w:ascii="宋体" w:hAnsi="宋体" w:cs="宋体"/>
                <w:sz w:val="24"/>
              </w:rPr>
              <w:t>3-</w:t>
            </w:r>
            <w:r>
              <w:rPr>
                <w:rFonts w:hint="eastAsia" w:ascii="宋体" w:hAnsi="宋体" w:cs="宋体"/>
                <w:sz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hint="eastAsia" w:ascii="宋体" w:hAnsi="宋体"/>
                <w:sz w:val="24"/>
              </w:rPr>
            </w:pPr>
            <w:r>
              <w:rPr>
                <w:rFonts w:hint="eastAsia"/>
                <w:sz w:val="24"/>
                <w:lang w:val="en-US" w:eastAsia="zh-CN"/>
              </w:rPr>
              <w:t>3</w:t>
            </w:r>
            <w:r>
              <w:rPr>
                <w:sz w:val="24"/>
              </w:rPr>
              <w:t>.投标人认为有必要提供的其他资料</w:t>
            </w:r>
          </w:p>
        </w:tc>
        <w:tc>
          <w:tcPr>
            <w:tcW w:w="1197" w:type="dxa"/>
            <w:vAlign w:val="center"/>
          </w:tcPr>
          <w:p>
            <w:pPr>
              <w:autoSpaceDE w:val="0"/>
              <w:autoSpaceDN w:val="0"/>
              <w:adjustRightInd w:val="0"/>
              <w:spacing w:line="360" w:lineRule="auto"/>
              <w:jc w:val="center"/>
              <w:rPr>
                <w:rFonts w:hint="eastAsia" w:ascii="宋体" w:hAnsi="宋体"/>
                <w:sz w:val="24"/>
              </w:rPr>
            </w:pPr>
          </w:p>
        </w:tc>
        <w:tc>
          <w:tcPr>
            <w:tcW w:w="1201" w:type="dxa"/>
          </w:tcPr>
          <w:p>
            <w:pPr>
              <w:autoSpaceDE w:val="0"/>
              <w:autoSpaceDN w:val="0"/>
              <w:adjustRightInd w:val="0"/>
              <w:spacing w:line="360" w:lineRule="auto"/>
              <w:jc w:val="center"/>
              <w:rPr>
                <w:rFonts w:hint="default" w:ascii="宋体" w:hAnsi="宋体" w:eastAsia="宋体"/>
                <w:sz w:val="24"/>
                <w:lang w:val="en-US" w:eastAsia="zh-CN"/>
              </w:rPr>
            </w:pPr>
            <w:r>
              <w:rPr>
                <w:rFonts w:hint="eastAsia" w:ascii="宋体" w:hAnsi="宋体"/>
                <w:sz w:val="24"/>
                <w:lang w:val="en-US" w:eastAsia="zh-CN"/>
              </w:rPr>
              <w:t>3-4</w:t>
            </w:r>
          </w:p>
        </w:tc>
      </w:tr>
    </w:tbl>
    <w:p>
      <w:pPr>
        <w:spacing w:line="360" w:lineRule="auto"/>
        <w:ind w:firstLine="482" w:firstLineChars="200"/>
        <w:rPr>
          <w:rFonts w:ascii="宋体" w:hAnsi="宋体"/>
          <w:b/>
          <w:sz w:val="24"/>
        </w:rPr>
      </w:pPr>
    </w:p>
    <w:p>
      <w:pPr>
        <w:autoSpaceDE w:val="0"/>
        <w:autoSpaceDN w:val="0"/>
        <w:adjustRightInd w:val="0"/>
        <w:spacing w:line="360" w:lineRule="auto"/>
        <w:ind w:firstLine="472" w:firstLineChars="196"/>
        <w:rPr>
          <w:rFonts w:ascii="宋体" w:hAnsi="宋体"/>
          <w:b/>
          <w:sz w:val="24"/>
        </w:rPr>
      </w:pPr>
      <w:r>
        <w:rPr>
          <w:rFonts w:hint="eastAsia" w:ascii="宋体" w:hAnsi="宋体"/>
          <w:b/>
          <w:sz w:val="24"/>
        </w:rPr>
        <w:t>（三）投标文件的语言及计量</w:t>
      </w:r>
    </w:p>
    <w:p>
      <w:pPr>
        <w:autoSpaceDE w:val="0"/>
        <w:autoSpaceDN w:val="0"/>
        <w:adjustRightInd w:val="0"/>
        <w:spacing w:line="360" w:lineRule="auto"/>
        <w:ind w:firstLine="472" w:firstLineChars="196"/>
        <w:rPr>
          <w:rFonts w:ascii="宋体" w:hAnsi="宋体"/>
          <w:sz w:val="24"/>
        </w:rPr>
      </w:pPr>
      <w:r>
        <w:rPr>
          <w:rFonts w:hint="eastAsia" w:ascii="宋体" w:hAnsi="宋体"/>
          <w:b/>
          <w:sz w:val="24"/>
        </w:rPr>
        <w:t>▲</w:t>
      </w:r>
      <w:r>
        <w:rPr>
          <w:rFonts w:hint="eastAsia" w:ascii="宋体" w:hAnsi="宋体"/>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sz w:val="24"/>
        </w:rPr>
      </w:pPr>
      <w:r>
        <w:rPr>
          <w:rFonts w:hint="eastAsia" w:ascii="宋体" w:hAnsi="宋体"/>
          <w:b/>
          <w:sz w:val="24"/>
        </w:rPr>
        <w:t>（四）投标报价</w:t>
      </w:r>
    </w:p>
    <w:p>
      <w:pPr>
        <w:autoSpaceDE w:val="0"/>
        <w:autoSpaceDN w:val="0"/>
        <w:adjustRightInd w:val="0"/>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本项目按职工疗休养经费标准执行,根据衢总工字〔2021〕12号《关于调整和完善职工疗休养政策的通知》，疗休养费用标准按不高于600元/人</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天的限额，总费用不高于3000元/人</w:t>
      </w:r>
      <w:r>
        <w:rPr>
          <w:rFonts w:hint="eastAsia" w:asciiTheme="minorEastAsia" w:hAnsiTheme="minorEastAsia" w:eastAsiaTheme="minorEastAsia"/>
          <w:sz w:val="24"/>
          <w:lang w:val="en-US" w:eastAsia="zh-CN"/>
        </w:rPr>
        <w:t>/</w:t>
      </w:r>
      <w:r>
        <w:rPr>
          <w:rFonts w:hint="eastAsia" w:asciiTheme="minorEastAsia" w:hAnsiTheme="minorEastAsia" w:eastAsiaTheme="minorEastAsia"/>
          <w:sz w:val="24"/>
        </w:rPr>
        <w:t>年的限额。</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sz w:val="24"/>
        </w:rPr>
      </w:pPr>
      <w:r>
        <w:rPr>
          <w:rFonts w:hint="eastAsia" w:ascii="宋体" w:hAnsi="宋体"/>
          <w:sz w:val="24"/>
        </w:rPr>
        <w:t>电子投标文件</w:t>
      </w:r>
      <w:r>
        <w:rPr>
          <w:rFonts w:hint="eastAsia" w:ascii="宋体" w:hAnsi="宋体" w:cs="仿宋_GB2312"/>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2.本项目原则上采用远程异地开评标，投标人无需到开标现场，但须准时在线参加，直至评审结束。</w:t>
      </w:r>
    </w:p>
    <w:p>
      <w:pPr>
        <w:numPr>
          <w:ilvl w:val="0"/>
          <w:numId w:val="2"/>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hint="eastAsia" w:ascii="宋体" w:hAnsi="宋体" w:eastAsia="宋体"/>
          <w:color w:val="000000"/>
          <w:sz w:val="24"/>
          <w:lang w:val="en-US" w:eastAsia="zh-CN"/>
        </w:rPr>
      </w:pPr>
      <w:r>
        <w:rPr>
          <w:rFonts w:hint="eastAsia" w:ascii="宋体" w:hAnsi="宋体"/>
          <w:color w:val="000000"/>
          <w:sz w:val="24"/>
        </w:rPr>
        <w:t>10.不符合法律、法规和招标文件规定的其他实质性要求的</w:t>
      </w:r>
      <w:r>
        <w:rPr>
          <w:rFonts w:hint="eastAsia" w:ascii="宋体" w:hAnsi="宋体"/>
          <w:color w:val="000000"/>
          <w:sz w:val="24"/>
          <w:lang w:eastAsia="zh-CN"/>
        </w:rPr>
        <w:t>；</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11.电子投标文件解密失败的；</w:t>
      </w:r>
    </w:p>
    <w:p>
      <w:pPr>
        <w:snapToGrid w:val="0"/>
        <w:spacing w:line="360" w:lineRule="auto"/>
        <w:ind w:firstLine="480" w:firstLineChars="200"/>
        <w:rPr>
          <w:rFonts w:hint="eastAsia" w:ascii="宋体" w:hAnsi="宋体" w:eastAsia="宋体"/>
          <w:color w:val="000000"/>
          <w:sz w:val="24"/>
          <w:lang w:val="en-US" w:eastAsia="zh-CN"/>
        </w:rPr>
      </w:pPr>
      <w:r>
        <w:rPr>
          <w:rFonts w:hint="eastAsia" w:ascii="宋体" w:hAnsi="宋体"/>
          <w:color w:val="000000"/>
          <w:sz w:val="24"/>
        </w:rPr>
        <w:t>12.电子投标文件超过规定时间（开标后30分钟内）未解密的</w:t>
      </w:r>
      <w:r>
        <w:rPr>
          <w:rFonts w:hint="eastAsia" w:ascii="宋体" w:hAnsi="宋体"/>
          <w:color w:val="000000"/>
          <w:sz w:val="24"/>
          <w:lang w:eastAsia="zh-CN"/>
        </w:rPr>
        <w:t>。</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sz w:val="24"/>
        </w:rPr>
      </w:pPr>
      <w:r>
        <w:rPr>
          <w:rFonts w:hint="eastAsia" w:ascii="宋体" w:hAnsi="宋体"/>
          <w:sz w:val="24"/>
        </w:rPr>
        <w:t>2.电子投标文件开标</w:t>
      </w:r>
    </w:p>
    <w:p>
      <w:pPr>
        <w:snapToGrid w:val="0"/>
        <w:spacing w:line="360" w:lineRule="auto"/>
        <w:ind w:firstLine="480" w:firstLineChars="200"/>
        <w:rPr>
          <w:rFonts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sz w:val="24"/>
        </w:rPr>
      </w:pPr>
      <w:r>
        <w:rPr>
          <w:rFonts w:hint="eastAsia" w:ascii="宋体" w:hAnsi="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2．缴纳形式：</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sz w:val="24"/>
        </w:rPr>
      </w:pPr>
      <w:r>
        <w:rPr>
          <w:rFonts w:hint="eastAsia" w:ascii="宋体" w:hAnsi="宋体"/>
          <w:bCs/>
          <w:sz w:val="24"/>
        </w:rPr>
        <w:t>账号：799901012105965。</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(2)或符合政策规定的其它形式</w:t>
      </w:r>
      <w:r>
        <w:rPr>
          <w:rFonts w:ascii="宋体" w:hAnsi="宋体"/>
          <w:bCs/>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0" w:firstLineChars="195"/>
        <w:rPr>
          <w:rFonts w:ascii="宋体" w:hAnsi="宋体"/>
          <w:b/>
          <w:color w:val="000000"/>
          <w:sz w:val="24"/>
        </w:rPr>
      </w:pPr>
      <w:r>
        <w:rPr>
          <w:rFonts w:hint="eastAsia" w:ascii="宋体" w:hAnsi="宋体"/>
          <w:b/>
          <w:color w:val="000000"/>
          <w:sz w:val="24"/>
        </w:rPr>
        <w:t>八、解释权：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九、通讯地址：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：周老师，电话（传真）：0570-8015042。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w:t>
      </w:r>
      <w:r>
        <w:rPr>
          <w:rFonts w:hint="eastAsia" w:ascii="宋体" w:hAnsi="宋体"/>
          <w:kern w:val="0"/>
          <w:sz w:val="24"/>
        </w:rPr>
        <w:t>王老师</w:t>
      </w:r>
      <w:r>
        <w:rPr>
          <w:rFonts w:hint="eastAsia" w:ascii="宋体" w:hAnsi="宋体"/>
          <w:bCs/>
          <w:color w:val="000000"/>
          <w:sz w:val="24"/>
        </w:rPr>
        <w:t>，电话：05708015116。</w:t>
      </w:r>
      <w:bookmarkStart w:id="4" w:name="_Toc201078659"/>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宋体" w:hAnsi="宋体"/>
          <w:b/>
          <w:bCs/>
          <w:color w:val="000000"/>
          <w:sz w:val="24"/>
        </w:rPr>
      </w:pPr>
      <w:r>
        <w:rPr>
          <w:rFonts w:ascii="宋体" w:hAnsi="宋体"/>
          <w:b/>
          <w:color w:val="000000"/>
          <w:sz w:val="32"/>
          <w:szCs w:val="32"/>
        </w:rPr>
        <w:t>第三章 采购内容及要求</w:t>
      </w:r>
      <w:bookmarkEnd w:id="4"/>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sz w:val="24"/>
        </w:rPr>
      </w:pPr>
      <w:r>
        <w:rPr>
          <w:rFonts w:hint="eastAsia" w:ascii="宋体" w:hAnsi="宋体"/>
          <w:b/>
          <w:color w:val="000000"/>
          <w:sz w:val="24"/>
        </w:rPr>
        <w:t>一、</w:t>
      </w:r>
      <w:r>
        <w:rPr>
          <w:rFonts w:ascii="宋体" w:hAnsi="宋体"/>
          <w:b/>
          <w:color w:val="000000"/>
          <w:sz w:val="24"/>
        </w:rPr>
        <w:t>采购内容</w:t>
      </w:r>
    </w:p>
    <w:p>
      <w:pPr>
        <w:keepNext w:val="0"/>
        <w:keepLines w:val="0"/>
        <w:pageBreakBefore w:val="0"/>
        <w:widowControl/>
        <w:kinsoku/>
        <w:wordWrap/>
        <w:overflowPunct/>
        <w:topLinePunct w:val="0"/>
        <w:autoSpaceDE/>
        <w:autoSpaceDN/>
        <w:bidi w:val="0"/>
        <w:adjustRightInd/>
        <w:snapToGrid/>
        <w:spacing w:line="440" w:lineRule="exact"/>
        <w:ind w:left="61" w:leftChars="29" w:right="60" w:firstLine="480" w:firstLineChars="200"/>
        <w:textAlignment w:val="auto"/>
        <w:rPr>
          <w:rFonts w:ascii="宋体" w:hAnsi="宋体"/>
          <w:bCs/>
          <w:color w:val="000000"/>
          <w:sz w:val="24"/>
        </w:rPr>
      </w:pPr>
      <w:r>
        <w:rPr>
          <w:rFonts w:hint="eastAsia" w:ascii="宋体" w:hAnsi="宋体"/>
          <w:bCs/>
          <w:color w:val="000000"/>
          <w:sz w:val="24"/>
        </w:rPr>
        <w:t>教职工疗休养定点服务（浙江省外地区疗休养）</w:t>
      </w:r>
    </w:p>
    <w:p>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sz w:val="24"/>
        </w:rPr>
      </w:pPr>
      <w:r>
        <w:rPr>
          <w:b/>
          <w:color w:val="000000"/>
          <w:sz w:val="24"/>
        </w:rPr>
        <w:t>二、项目总体要求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cs="仿宋_GB2312"/>
          <w:bCs/>
          <w:color w:val="000000"/>
          <w:sz w:val="24"/>
          <w:lang w:eastAsia="zh-CN"/>
        </w:rPr>
      </w:pPr>
      <w:r>
        <w:rPr>
          <w:rFonts w:hint="eastAsia" w:ascii="宋体" w:hAnsi="宋体" w:cs="仿宋_GB2312"/>
          <w:bCs/>
          <w:color w:val="000000"/>
          <w:sz w:val="24"/>
        </w:rPr>
        <w:t>1.本次采购活动确定定点服务旅行社1家</w:t>
      </w:r>
      <w:r>
        <w:rPr>
          <w:rFonts w:hint="eastAsia" w:ascii="宋体" w:hAnsi="宋体" w:cs="仿宋_GB2312"/>
          <w:bCs/>
          <w:color w:val="000000"/>
          <w:sz w:val="24"/>
          <w:lang w:eastAsia="zh-CN"/>
        </w:rPr>
        <w:t>。</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sz w:val="24"/>
        </w:rPr>
      </w:pPr>
      <w:r>
        <w:rPr>
          <w:rFonts w:hint="eastAsia" w:ascii="宋体" w:hAnsi="宋体" w:cs="仿宋_GB2312"/>
          <w:bCs/>
          <w:sz w:val="24"/>
        </w:rPr>
        <w:t>2.本项目预算金额68万/年，</w:t>
      </w:r>
      <w:r>
        <w:rPr>
          <w:rFonts w:hint="eastAsia" w:ascii="宋体" w:hAnsi="宋体" w:cs="仿宋_GB2312"/>
          <w:sz w:val="24"/>
        </w:rPr>
        <w:t>疗休养人数以学校实际参加疗休养活动为准，并按实际参与人数进行结算。</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sz w:val="24"/>
        </w:rPr>
        <w:t>3.本</w:t>
      </w:r>
      <w:r>
        <w:rPr>
          <w:rFonts w:hint="eastAsia" w:ascii="宋体" w:hAnsi="宋体" w:cs="仿宋_GB2312"/>
          <w:bCs/>
          <w:sz w:val="24"/>
        </w:rPr>
        <w:t>项目服务期为两年，合同一年一签，下年度续签须依据上级主管部门规定和学校审批同意方能执行。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4.投标人按衢州市总工会疗休养文件制定</w:t>
      </w:r>
      <w:r>
        <w:rPr>
          <w:rFonts w:hint="eastAsia" w:ascii="宋体" w:hAnsi="宋体"/>
          <w:sz w:val="24"/>
          <w:szCs w:val="28"/>
        </w:rPr>
        <w:t>吉林省公主岭市、新疆阿克苏地区乌什县、安徽省黄山市、福建省南平市休养路线</w:t>
      </w:r>
      <w:r>
        <w:rPr>
          <w:rFonts w:hint="eastAsia" w:ascii="宋体" w:hAnsi="宋体" w:cs="仿宋_GB2312"/>
          <w:bCs/>
          <w:sz w:val="24"/>
        </w:rPr>
        <w:t>各1项，同时自行推荐优质路线方案2项，包含疗养线路、行程、景点、费用、吃住行、交通工具等内容。若投标人中标，具体执行中提供给学校教职工疗休养服务标准不得低于本次投标响应。</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5.具体执行的疗休养线路、行程、景点等由学校各组团疗休养单位根据《关于调整和完善职工疗休养政策的通知》（衢总工字〔2021〕12号）、衢州市总工会办公室转发省总工会保障部《关于加强职工疗休养活动纪律要求的函》的通知书（衢总工办字〔2019〕11号）文件精神，与中标旅行社自行协商决定。</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6.疗休养费用：学校职工疗休养费用标准按不高于600元/人</w:t>
      </w:r>
      <w:r>
        <w:rPr>
          <w:rFonts w:hint="eastAsia" w:ascii="宋体" w:hAnsi="宋体" w:cs="仿宋_GB2312"/>
          <w:bCs/>
          <w:sz w:val="24"/>
          <w:lang w:val="en-US" w:eastAsia="zh-CN"/>
        </w:rPr>
        <w:t>/</w:t>
      </w:r>
      <w:r>
        <w:rPr>
          <w:rFonts w:hint="eastAsia" w:ascii="宋体" w:hAnsi="宋体" w:cs="仿宋_GB2312"/>
          <w:bCs/>
          <w:sz w:val="24"/>
        </w:rPr>
        <w:t>天的限额,总费用不高于3000元/人</w:t>
      </w:r>
      <w:r>
        <w:rPr>
          <w:rFonts w:hint="eastAsia" w:ascii="宋体" w:hAnsi="宋体" w:cs="仿宋_GB2312"/>
          <w:bCs/>
          <w:sz w:val="24"/>
          <w:lang w:val="en-US" w:eastAsia="zh-CN"/>
        </w:rPr>
        <w:t>/</w:t>
      </w:r>
      <w:r>
        <w:rPr>
          <w:rFonts w:hint="eastAsia" w:ascii="宋体" w:hAnsi="宋体" w:cs="仿宋_GB2312"/>
          <w:bCs/>
          <w:sz w:val="24"/>
        </w:rPr>
        <w:t>年从学校经费列支。疗养费用报销标准和程序按《关于调整和完善职工疗休养政策的通知》（衢总工字〔2021〕12号）、衢州市总工会办公室转发省总工会保障部《关于加强职工疗休养活动纪律要求的函》的通知书（衢总工办字〔2019〕11号）文件及上级有关规定执行。职工家属随同参加疗休养活动的。由职工本人提出申请，经分工会批准同意，其家属与疗休养中标旅行社订立旅游合同，责任自负。如职工家属自己符合疗休养条件且经单位批准同意的，费用单独开票到所在单位结算；职工家属不符合疗休养条件的，费用自理。</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color w:val="000000"/>
          <w:sz w:val="24"/>
        </w:rPr>
      </w:pPr>
      <w:r>
        <w:rPr>
          <w:rFonts w:hint="eastAsia" w:ascii="宋体" w:hAnsi="宋体" w:cs="仿宋_GB2312"/>
          <w:bCs/>
          <w:color w:val="000000"/>
          <w:sz w:val="24"/>
        </w:rPr>
        <w:t>三、服务要求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sz w:val="24"/>
        </w:rPr>
      </w:pPr>
      <w:r>
        <w:rPr>
          <w:rFonts w:hint="eastAsia" w:ascii="宋体" w:hAnsi="宋体" w:cs="仿宋_GB2312"/>
          <w:sz w:val="24"/>
        </w:rPr>
        <w:t>1. 疗休养项目及提供的相关服务单位、营运环节、业务流程均应符合国家法律法规，符合国家、行业、地方标准的要求，维护疗休养人员的合法权益。</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cs="仿宋_GB2312"/>
          <w:sz w:val="24"/>
        </w:rPr>
      </w:pPr>
      <w:r>
        <w:rPr>
          <w:rFonts w:hint="eastAsia" w:ascii="宋体" w:hAnsi="宋体" w:cs="仿宋_GB2312"/>
          <w:sz w:val="24"/>
        </w:rPr>
        <w:t xml:space="preserve">    2.能确保疗休养的安全、质量、诚信；确保全面履约，发生意外情况时有应急预案。</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sz w:val="24"/>
        </w:rPr>
      </w:pPr>
      <w:r>
        <w:rPr>
          <w:rFonts w:hint="eastAsia" w:ascii="宋体" w:hAnsi="宋体" w:cs="仿宋_GB2312"/>
          <w:sz w:val="24"/>
        </w:rPr>
        <w:t>3.在疗休养过程中，不得擅自增减疗休养项目，压缩疗休养时间，中止疗休养活动，因意外情况需变更行程、增减项目的，应及时征求疗休养人员意见同意后方可实施。</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color w:val="000000"/>
          <w:sz w:val="24"/>
        </w:rPr>
      </w:pPr>
      <w:r>
        <w:rPr>
          <w:rFonts w:hint="eastAsia" w:ascii="宋体" w:hAnsi="宋体" w:cs="仿宋_GB2312"/>
          <w:sz w:val="24"/>
        </w:rPr>
        <w:t>4.</w:t>
      </w:r>
      <w:r>
        <w:rPr>
          <w:rFonts w:hint="eastAsia" w:ascii="宋体" w:hAnsi="宋体" w:cs="仿宋_GB2312"/>
          <w:bCs/>
          <w:color w:val="000000"/>
          <w:sz w:val="24"/>
        </w:rPr>
        <w:t>疗休养价格：中标定点旅行社在执行组团疗养中，各疗养线路的价格应在当时市场价以下。</w:t>
      </w:r>
      <w:r>
        <w:rPr>
          <w:rFonts w:hint="eastAsia" w:ascii="宋体" w:hAnsi="宋体" w:cs="仿宋_GB2312"/>
          <w:sz w:val="24"/>
        </w:rPr>
        <w:t>按衢州市总工会疗休养费用规定出具疗休养费用发票。</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color w:val="000000"/>
          <w:sz w:val="24"/>
        </w:rPr>
        <w:t>5.吃住行要求：住宿：要求挂牌三星以上（含）；交通：汽车空调旅游车、火车硬卧、高铁动车二等座以上（含）、航空；餐饮</w:t>
      </w:r>
      <w:r>
        <w:rPr>
          <w:rFonts w:hint="eastAsia" w:ascii="宋体" w:hAnsi="宋体" w:cs="仿宋_GB2312"/>
          <w:bCs/>
          <w:sz w:val="24"/>
        </w:rPr>
        <w:t>：早餐为住宿早餐或20元以上，中、晚餐各40元以上。</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 xml:space="preserve">6.疗休养行程、注意事项和疗养人员名单人手1份；有全陪导游服务；全程做好安全工作，做到事事提醒。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7.承办好责任保险和旅客人身意外保险，做到应保尽保，旅客人身意外保险额度为100万元。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8.未尽事宜，按《关于调整和完善职工疗休养政策的通知》（衢总工字〔2021〕12号）、衢州市总工会办公室转发省总工会保障部《关于加强职工疗休养活动纪律要求的函》的通知书（衢总工办字〔2019〕11号）文件精神文件规定执行和《旅行社条例》执行。</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四、其他要求：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1.定点旅行社应保证采购单位获得优先服务的权利，积极主动与采购单位配合，并按投标时承诺的内容进行履约，完成疗休养承办接待工作。</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 xml:space="preserve">2.定点旅行社应设有固定联系电话及联系人，及时响应采购单位的各项要求。 </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3.由于旅游线路价格存在淡旺季，淡季时，定点旅行社应主动对旅游线路价格或门市价及时进行调整。</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cs="仿宋_GB2312"/>
          <w:bCs/>
          <w:sz w:val="24"/>
        </w:rPr>
      </w:pPr>
      <w:r>
        <w:rPr>
          <w:rFonts w:hint="eastAsia" w:ascii="宋体" w:hAnsi="宋体" w:cs="仿宋_GB2312"/>
          <w:bCs/>
          <w:sz w:val="24"/>
        </w:rPr>
        <w:t>4.采购单位对已出行的团进行教职工疗休养满意度测评，如教职工疗休养测评满意度位于70%～80%之间的，扣除该团总费用的5%作为约束；如教职工疗休养测评满意度位于60%～70%（含60%,70%）的，扣除该团总费用的10%；如教职工疗休养测评满意度低于60%的，扣除该团总费用的15%并且第二年自动解除疗休养合同，不再续签。</w:t>
      </w:r>
    </w:p>
    <w:p>
      <w:pPr>
        <w:pStyle w:val="21"/>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hint="eastAsia" w:ascii="宋体" w:hAnsi="宋体"/>
          <w:b/>
          <w:color w:val="000000"/>
          <w:sz w:val="32"/>
        </w:rPr>
      </w:pPr>
      <w:r>
        <w:rPr>
          <w:rFonts w:hint="eastAsia" w:asciiTheme="minorEastAsia" w:hAnsiTheme="minorEastAsia" w:eastAsiaTheme="minorEastAsia"/>
          <w:kern w:val="2"/>
        </w:rPr>
        <w:t>5.因疫情原因不能如期进行疗休养的参照不可抗力事件进行处理。</w:t>
      </w:r>
    </w:p>
    <w:p>
      <w:pPr>
        <w:spacing w:line="360" w:lineRule="auto"/>
        <w:jc w:val="center"/>
        <w:rPr>
          <w:rFonts w:hint="eastAsia" w:ascii="宋体" w:hAnsi="宋体"/>
          <w:b/>
          <w:color w:val="000000"/>
          <w:sz w:val="32"/>
        </w:rPr>
      </w:pPr>
    </w:p>
    <w:p>
      <w:pPr>
        <w:spacing w:line="360" w:lineRule="auto"/>
        <w:jc w:val="center"/>
        <w:rPr>
          <w:rFonts w:ascii="宋体" w:hAnsi="宋体"/>
          <w:b/>
          <w:bCs/>
          <w:color w:val="000000"/>
          <w:sz w:val="24"/>
        </w:rPr>
      </w:pPr>
      <w:r>
        <w:rPr>
          <w:rFonts w:hint="eastAsia" w:ascii="宋体" w:hAnsi="宋体"/>
          <w:b/>
          <w:color w:val="000000"/>
          <w:sz w:val="32"/>
        </w:rPr>
        <w:t>第四章  合同主要条款</w:t>
      </w:r>
    </w:p>
    <w:p>
      <w:pPr>
        <w:spacing w:line="440" w:lineRule="exact"/>
        <w:jc w:val="center"/>
        <w:rPr>
          <w:rFonts w:ascii="宋体" w:hAnsi="宋体"/>
          <w:b/>
          <w:bCs/>
          <w:sz w:val="24"/>
        </w:rPr>
      </w:pPr>
      <w:r>
        <w:rPr>
          <w:rFonts w:hint="eastAsia" w:ascii="宋体" w:hAnsi="宋体"/>
          <w:b/>
          <w:bCs/>
          <w:sz w:val="24"/>
        </w:rPr>
        <w:t>衢州学院教职工</w:t>
      </w:r>
      <w:r>
        <w:rPr>
          <w:rFonts w:hint="eastAsia" w:ascii="宋体" w:hAnsi="宋体"/>
          <w:b/>
          <w:bCs/>
          <w:sz w:val="24"/>
          <w:lang w:eastAsia="zh-CN"/>
        </w:rPr>
        <w:t>省外</w:t>
      </w:r>
      <w:r>
        <w:rPr>
          <w:rFonts w:hint="eastAsia" w:ascii="宋体" w:hAnsi="宋体"/>
          <w:b/>
          <w:bCs/>
          <w:sz w:val="24"/>
        </w:rPr>
        <w:t>疗休养定点服务采购合同</w:t>
      </w: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甲</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方：衢州学院</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乙</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方：</w:t>
      </w: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地</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址：</w:t>
      </w:r>
      <w:r>
        <w:rPr>
          <w:rFonts w:hint="eastAsia" w:asciiTheme="minorEastAsia" w:hAnsiTheme="minorEastAsia" w:eastAsiaTheme="minorEastAsia"/>
          <w:bCs/>
          <w:color w:val="000000"/>
          <w:sz w:val="24"/>
        </w:rPr>
        <w:t>衢州市九华北大道</w:t>
      </w:r>
      <w:r>
        <w:rPr>
          <w:rFonts w:asciiTheme="minorEastAsia" w:hAnsiTheme="minorEastAsia" w:eastAsiaTheme="minorEastAsia"/>
          <w:bCs/>
          <w:color w:val="000000"/>
          <w:sz w:val="24"/>
        </w:rPr>
        <w:t>78</w:t>
      </w:r>
      <w:r>
        <w:rPr>
          <w:rFonts w:hint="eastAsia" w:asciiTheme="minorEastAsia" w:hAnsiTheme="minorEastAsia" w:eastAsiaTheme="minorEastAsia"/>
          <w:bCs/>
          <w:color w:val="000000"/>
          <w:sz w:val="24"/>
        </w:rPr>
        <w:t>号</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地</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址：</w:t>
      </w: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邮</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编：</w:t>
      </w:r>
      <w:r>
        <w:rPr>
          <w:rFonts w:asciiTheme="minorEastAsia" w:hAnsiTheme="minorEastAsia" w:eastAsiaTheme="minorEastAsia"/>
          <w:color w:val="000000"/>
          <w:sz w:val="24"/>
        </w:rPr>
        <w:t xml:space="preserve">324000                     </w:t>
      </w:r>
      <w:r>
        <w:rPr>
          <w:rFonts w:hint="eastAsia" w:asciiTheme="minorEastAsia" w:hAnsiTheme="minorEastAsia" w:eastAsiaTheme="minorEastAsia"/>
          <w:color w:val="000000"/>
          <w:sz w:val="24"/>
        </w:rPr>
        <w:t>邮</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编：</w:t>
      </w: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电</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话：</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电</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话：</w:t>
      </w:r>
    </w:p>
    <w:p>
      <w:pPr>
        <w:spacing w:line="440" w:lineRule="exact"/>
        <w:rPr>
          <w:rFonts w:asciiTheme="minorEastAsia" w:hAnsiTheme="minorEastAsia" w:eastAsiaTheme="minorEastAsia"/>
          <w:color w:val="000000"/>
          <w:sz w:val="24"/>
        </w:rPr>
      </w:pPr>
      <w:r>
        <w:rPr>
          <w:rFonts w:hint="eastAsia" w:asciiTheme="minorEastAsia" w:hAnsiTheme="minorEastAsia" w:eastAsiaTheme="minorEastAsia"/>
          <w:color w:val="000000"/>
          <w:sz w:val="24"/>
        </w:rPr>
        <w:t>联系人：</w:t>
      </w:r>
      <w:r>
        <w:rPr>
          <w:rFonts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联系人：</w:t>
      </w:r>
    </w:p>
    <w:p>
      <w:pPr>
        <w:spacing w:line="440" w:lineRule="exact"/>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签约地点：浙江衢州</w:t>
      </w:r>
    </w:p>
    <w:p>
      <w:pPr>
        <w:spacing w:line="440" w:lineRule="exact"/>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lang w:val="en-US" w:eastAsia="zh-CN"/>
        </w:rPr>
        <w:t xml:space="preserve">    </w:t>
      </w:r>
      <w:r>
        <w:rPr>
          <w:rFonts w:hint="eastAsia" w:asciiTheme="minorEastAsia" w:hAnsiTheme="minorEastAsia" w:eastAsiaTheme="minorEastAsia"/>
          <w:color w:val="000000"/>
          <w:sz w:val="24"/>
        </w:rPr>
        <w:t>根据《中华人民共和国合同法》等相关规定，甲乙双方就</w:t>
      </w:r>
      <w:r>
        <w:rPr>
          <w:rFonts w:hint="eastAsia" w:ascii="宋体" w:hAnsi="宋体"/>
          <w:b/>
          <w:bCs/>
          <w:sz w:val="24"/>
        </w:rPr>
        <w:t>衢州学院教职工</w:t>
      </w:r>
      <w:r>
        <w:rPr>
          <w:rFonts w:hint="eastAsia" w:ascii="宋体" w:hAnsi="宋体"/>
          <w:b/>
          <w:bCs/>
          <w:sz w:val="24"/>
          <w:lang w:eastAsia="zh-CN"/>
        </w:rPr>
        <w:t>省内</w:t>
      </w:r>
      <w:r>
        <w:rPr>
          <w:rFonts w:hint="eastAsia" w:ascii="宋体" w:hAnsi="宋体"/>
          <w:b/>
          <w:bCs/>
          <w:sz w:val="24"/>
        </w:rPr>
        <w:t>疗休养定点服务采购</w:t>
      </w:r>
      <w:r>
        <w:rPr>
          <w:rFonts w:hint="eastAsia" w:ascii="宋体" w:hAnsi="宋体"/>
          <w:b/>
          <w:bCs/>
          <w:sz w:val="24"/>
          <w:lang w:eastAsia="zh-CN"/>
        </w:rPr>
        <w:t>项目</w:t>
      </w:r>
      <w:r>
        <w:rPr>
          <w:rFonts w:hint="eastAsia" w:asciiTheme="minorEastAsia" w:hAnsiTheme="minorEastAsia" w:eastAsiaTheme="minorEastAsia"/>
          <w:color w:val="000000"/>
          <w:sz w:val="24"/>
        </w:rPr>
        <w:t>（项目编号：衢院招</w:t>
      </w:r>
      <w:r>
        <w:rPr>
          <w:rFonts w:hint="eastAsia" w:asciiTheme="minorEastAsia" w:hAnsiTheme="minorEastAsia" w:eastAsiaTheme="minorEastAsia"/>
          <w:color w:val="000000"/>
          <w:sz w:val="24"/>
          <w:lang w:val="en-US" w:eastAsia="zh-CN"/>
        </w:rPr>
        <w:t>2021-31</w:t>
      </w:r>
      <w:r>
        <w:rPr>
          <w:rFonts w:hint="eastAsia" w:asciiTheme="minorEastAsia" w:hAnsiTheme="minorEastAsia" w:eastAsiaTheme="minorEastAsia"/>
          <w:color w:val="000000"/>
          <w:sz w:val="24"/>
        </w:rPr>
        <w:t>）协商达成一致，确立本合同，以明确双方的权利和义务，确保甲乙双方共同执行。</w:t>
      </w:r>
    </w:p>
    <w:p>
      <w:pPr>
        <w:spacing w:line="440" w:lineRule="exact"/>
        <w:ind w:firstLine="472" w:firstLineChars="196"/>
        <w:outlineLvl w:val="1"/>
        <w:rPr>
          <w:rFonts w:asciiTheme="minorEastAsia" w:hAnsiTheme="minorEastAsia" w:eastAsiaTheme="minorEastAsia"/>
          <w:color w:val="000000"/>
          <w:sz w:val="24"/>
        </w:rPr>
      </w:pPr>
      <w:r>
        <w:rPr>
          <w:rFonts w:hint="eastAsia" w:asciiTheme="minorEastAsia" w:hAnsiTheme="minorEastAsia" w:eastAsiaTheme="minorEastAsia"/>
          <w:b/>
          <w:color w:val="000000"/>
          <w:sz w:val="24"/>
        </w:rPr>
        <w:t>一、合同内容（金额单位：元）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307"/>
        <w:gridCol w:w="4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235" w:type="dxa"/>
            <w:vAlign w:val="center"/>
          </w:tcPr>
          <w:p>
            <w:pPr>
              <w:widowControl/>
              <w:spacing w:line="440" w:lineRule="exact"/>
              <w:jc w:val="center"/>
              <w:rPr>
                <w:rFonts w:hint="eastAsia" w:cs="宋体" w:asciiTheme="minorEastAsia" w:hAnsiTheme="minorEastAsia" w:eastAsiaTheme="minorEastAsia"/>
                <w:b/>
                <w:bCs/>
                <w:color w:val="000000"/>
                <w:kern w:val="0"/>
                <w:sz w:val="24"/>
                <w:lang w:eastAsia="zh-CN"/>
              </w:rPr>
            </w:pPr>
            <w:r>
              <w:rPr>
                <w:rFonts w:hint="eastAsia" w:cs="宋体" w:asciiTheme="minorEastAsia" w:hAnsiTheme="minorEastAsia" w:eastAsiaTheme="minorEastAsia"/>
                <w:b/>
                <w:bCs/>
                <w:color w:val="000000"/>
                <w:kern w:val="0"/>
                <w:sz w:val="24"/>
                <w:lang w:eastAsia="zh-CN"/>
              </w:rPr>
              <w:t>内</w:t>
            </w:r>
            <w:r>
              <w:rPr>
                <w:rFonts w:hint="eastAsia" w:cs="宋体" w:asciiTheme="minorEastAsia" w:hAnsiTheme="minorEastAsia" w:eastAsiaTheme="minorEastAsia"/>
                <w:b/>
                <w:bCs/>
                <w:color w:val="000000"/>
                <w:kern w:val="0"/>
                <w:sz w:val="24"/>
                <w:lang w:val="en-US" w:eastAsia="zh-CN"/>
              </w:rPr>
              <w:t xml:space="preserve">  </w:t>
            </w:r>
            <w:r>
              <w:rPr>
                <w:rFonts w:hint="eastAsia" w:cs="宋体" w:asciiTheme="minorEastAsia" w:hAnsiTheme="minorEastAsia" w:eastAsiaTheme="minorEastAsia"/>
                <w:b/>
                <w:bCs/>
                <w:color w:val="000000"/>
                <w:kern w:val="0"/>
                <w:sz w:val="24"/>
                <w:lang w:eastAsia="zh-CN"/>
              </w:rPr>
              <w:t>容</w:t>
            </w:r>
          </w:p>
        </w:tc>
        <w:tc>
          <w:tcPr>
            <w:tcW w:w="2307" w:type="dxa"/>
            <w:vAlign w:val="center"/>
          </w:tcPr>
          <w:p>
            <w:pPr>
              <w:widowControl/>
              <w:spacing w:line="440" w:lineRule="exac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年度</w:t>
            </w:r>
          </w:p>
        </w:tc>
        <w:tc>
          <w:tcPr>
            <w:tcW w:w="4355" w:type="dxa"/>
            <w:vAlign w:val="center"/>
          </w:tcPr>
          <w:p>
            <w:pPr>
              <w:widowControl/>
              <w:spacing w:line="440" w:lineRule="exact"/>
              <w:jc w:val="center"/>
              <w:rPr>
                <w:rFonts w:cs="宋体" w:asciiTheme="minorEastAsia" w:hAnsiTheme="minorEastAsia" w:eastAsiaTheme="minorEastAsia"/>
                <w:b/>
                <w:bCs/>
                <w:color w:val="000000"/>
                <w:kern w:val="0"/>
                <w:sz w:val="24"/>
              </w:rPr>
            </w:pPr>
            <w:r>
              <w:rPr>
                <w:rFonts w:hint="eastAsia" w:cs="宋体" w:asciiTheme="minorEastAsia" w:hAnsiTheme="minorEastAsia" w:eastAsiaTheme="minorEastAsia"/>
                <w:b/>
                <w:bCs/>
                <w:color w:val="000000"/>
                <w:kern w:val="0"/>
                <w:sz w:val="24"/>
              </w:rPr>
              <w:t>结算标准及结算方式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35" w:type="dxa"/>
            <w:vAlign w:val="center"/>
          </w:tcPr>
          <w:p>
            <w:pPr>
              <w:widowControl/>
              <w:spacing w:line="440" w:lineRule="exact"/>
              <w:jc w:val="center"/>
              <w:rPr>
                <w:rFonts w:ascii="宋体" w:hAnsi="宋体"/>
                <w:color w:val="000000"/>
                <w:sz w:val="24"/>
              </w:rPr>
            </w:pPr>
            <w:r>
              <w:rPr>
                <w:rFonts w:hint="eastAsia" w:ascii="宋体" w:hAnsi="宋体"/>
                <w:color w:val="000000"/>
                <w:sz w:val="24"/>
              </w:rPr>
              <w:t>教职工疗休养定点服务（浙江省外地区疗休养）</w:t>
            </w:r>
          </w:p>
        </w:tc>
        <w:tc>
          <w:tcPr>
            <w:tcW w:w="2307" w:type="dxa"/>
            <w:vAlign w:val="center"/>
          </w:tcPr>
          <w:p>
            <w:pPr>
              <w:widowControl/>
              <w:spacing w:line="440" w:lineRule="exact"/>
              <w:jc w:val="center"/>
              <w:rPr>
                <w:rFonts w:ascii="宋体" w:hAnsi="宋体" w:cs="宋体"/>
                <w:color w:val="000000"/>
                <w:kern w:val="0"/>
                <w:sz w:val="24"/>
              </w:rPr>
            </w:pPr>
            <w:r>
              <w:rPr>
                <w:rFonts w:hint="eastAsia" w:ascii="宋体" w:hAnsi="宋体" w:cs="宋体"/>
                <w:color w:val="000000"/>
                <w:kern w:val="0"/>
                <w:sz w:val="24"/>
              </w:rPr>
              <w:t>2021</w:t>
            </w:r>
          </w:p>
        </w:tc>
        <w:tc>
          <w:tcPr>
            <w:tcW w:w="4355" w:type="dxa"/>
            <w:vAlign w:val="center"/>
          </w:tcPr>
          <w:p>
            <w:pPr>
              <w:widowControl/>
              <w:spacing w:line="440" w:lineRule="exact"/>
              <w:jc w:val="center"/>
              <w:rPr>
                <w:rFonts w:ascii="宋体" w:hAnsi="宋体"/>
                <w:color w:val="000000"/>
                <w:szCs w:val="21"/>
              </w:rPr>
            </w:pPr>
            <w:r>
              <w:rPr>
                <w:rFonts w:hint="eastAsia" w:ascii="宋体" w:hAnsi="宋体" w:cs="宋体"/>
                <w:color w:val="000000"/>
                <w:kern w:val="0"/>
                <w:sz w:val="24"/>
              </w:rPr>
              <w:t>按衢总工字〔2021〕12号、衢总工办字〔2019〕11号规定执行</w:t>
            </w:r>
          </w:p>
        </w:tc>
      </w:tr>
    </w:tbl>
    <w:p>
      <w:pPr>
        <w:pStyle w:val="21"/>
        <w:spacing w:before="0" w:beforeAutospacing="0" w:after="0" w:afterAutospacing="0" w:line="440" w:lineRule="exact"/>
        <w:ind w:firstLine="482" w:firstLineChars="200"/>
        <w:outlineLvl w:val="1"/>
        <w:rPr>
          <w:rFonts w:asciiTheme="minorEastAsia" w:hAnsiTheme="minorEastAsia" w:eastAsiaTheme="minorEastAsia"/>
          <w:b/>
          <w:color w:val="000000"/>
          <w:kern w:val="2"/>
        </w:rPr>
      </w:pPr>
      <w:r>
        <w:rPr>
          <w:rFonts w:hint="eastAsia" w:asciiTheme="minorEastAsia" w:hAnsiTheme="minorEastAsia" w:eastAsiaTheme="minorEastAsia"/>
          <w:b/>
          <w:color w:val="000000"/>
          <w:kern w:val="2"/>
        </w:rPr>
        <w:t>二、服务要求</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hint="eastAsia" w:asciiTheme="minorEastAsia" w:hAnsiTheme="minorEastAsia" w:eastAsiaTheme="minorEastAsia"/>
          <w:color w:val="000000"/>
          <w:kern w:val="2"/>
        </w:rPr>
        <w:t>1</w:t>
      </w:r>
      <w:r>
        <w:rPr>
          <w:rFonts w:asciiTheme="minorEastAsia" w:hAnsiTheme="minorEastAsia" w:eastAsiaTheme="minorEastAsia"/>
          <w:color w:val="000000"/>
          <w:kern w:val="2"/>
        </w:rPr>
        <w:t>.</w:t>
      </w:r>
      <w:r>
        <w:rPr>
          <w:rFonts w:hint="eastAsia" w:asciiTheme="minorEastAsia" w:hAnsiTheme="minorEastAsia" w:eastAsiaTheme="minorEastAsia"/>
          <w:color w:val="000000"/>
          <w:kern w:val="2"/>
        </w:rPr>
        <w:t>乙方所供服务质量应符合招标文件要求、其投标文件承诺及双方签订的协议要求。</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hint="eastAsia" w:asciiTheme="minorEastAsia" w:hAnsiTheme="minorEastAsia" w:eastAsiaTheme="minorEastAsia"/>
          <w:color w:val="000000"/>
          <w:kern w:val="2"/>
        </w:rPr>
        <w:t>2</w:t>
      </w:r>
      <w:r>
        <w:rPr>
          <w:rFonts w:asciiTheme="minorEastAsia" w:hAnsiTheme="minorEastAsia" w:eastAsiaTheme="minorEastAsia"/>
          <w:color w:val="000000"/>
          <w:kern w:val="2"/>
        </w:rPr>
        <w:t>.</w:t>
      </w:r>
      <w:r>
        <w:rPr>
          <w:rFonts w:hint="eastAsia" w:asciiTheme="minorEastAsia" w:hAnsiTheme="minorEastAsia" w:eastAsiaTheme="minorEastAsia"/>
          <w:color w:val="000000"/>
          <w:kern w:val="2"/>
        </w:rPr>
        <w:t>乙方对承接的疗休养，应根据甲方的要求，及时安排房间、交通工具、用餐等，做好接待疗休养的准备，充分满足疗休养的要求，并按投标文件承诺的内容进行服务，做到优先安排、优质服务。</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hint="eastAsia" w:asciiTheme="minorEastAsia" w:hAnsiTheme="minorEastAsia" w:eastAsiaTheme="minorEastAsia"/>
          <w:color w:val="000000"/>
          <w:kern w:val="2"/>
        </w:rPr>
        <w:t>3</w:t>
      </w:r>
      <w:r>
        <w:rPr>
          <w:rFonts w:asciiTheme="minorEastAsia" w:hAnsiTheme="minorEastAsia" w:eastAsiaTheme="minorEastAsia"/>
          <w:color w:val="000000"/>
          <w:kern w:val="2"/>
        </w:rPr>
        <w:t>.</w:t>
      </w:r>
      <w:r>
        <w:rPr>
          <w:rFonts w:hint="eastAsia" w:asciiTheme="minorEastAsia" w:hAnsiTheme="minorEastAsia" w:eastAsiaTheme="minorEastAsia"/>
          <w:color w:val="000000"/>
          <w:kern w:val="2"/>
        </w:rPr>
        <w:t>乙方应保证按招标文件要求和投标文件的承诺，为疗休养提供高质量的服务，积极配合采购单位。在认真执行各项开支标准的基础上，做到安排优先、服务优良。</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hint="eastAsia" w:asciiTheme="minorEastAsia" w:hAnsiTheme="minorEastAsia" w:eastAsiaTheme="minorEastAsia"/>
          <w:color w:val="000000"/>
          <w:kern w:val="2"/>
        </w:rPr>
        <w:t>4</w:t>
      </w:r>
      <w:r>
        <w:rPr>
          <w:rFonts w:asciiTheme="minorEastAsia" w:hAnsiTheme="minorEastAsia" w:eastAsiaTheme="minorEastAsia"/>
          <w:color w:val="000000"/>
          <w:kern w:val="2"/>
        </w:rPr>
        <w:t>.</w:t>
      </w:r>
      <w:r>
        <w:rPr>
          <w:rFonts w:hint="eastAsia" w:asciiTheme="minorEastAsia" w:hAnsiTheme="minorEastAsia" w:eastAsiaTheme="minorEastAsia"/>
          <w:color w:val="000000"/>
          <w:kern w:val="2"/>
        </w:rPr>
        <w:t>乙方提供的服务设施应保证安全、卫生、便捷、可靠。</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hint="eastAsia" w:asciiTheme="minorEastAsia" w:hAnsiTheme="minorEastAsia" w:eastAsiaTheme="minorEastAsia"/>
          <w:color w:val="000000"/>
          <w:kern w:val="2"/>
        </w:rPr>
        <w:t>5.导游工作到位，有专门工作人员值班、保持通迅畅通。疗休养期间发生的人身安全及财产损失，如因乙方原因造成，应由乙方承担责任。</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hint="eastAsia" w:asciiTheme="minorEastAsia" w:hAnsiTheme="minorEastAsia" w:eastAsiaTheme="minorEastAsia"/>
          <w:color w:val="000000"/>
          <w:kern w:val="2"/>
        </w:rPr>
        <w:t>6.乙方应做到应保则保，为游客提供人身意外伤害保险等。</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hint="eastAsia" w:asciiTheme="minorEastAsia" w:hAnsiTheme="minorEastAsia" w:eastAsiaTheme="minorEastAsia"/>
          <w:color w:val="000000"/>
          <w:kern w:val="2"/>
        </w:rPr>
        <w:t>7</w:t>
      </w:r>
      <w:r>
        <w:rPr>
          <w:rFonts w:asciiTheme="minorEastAsia" w:hAnsiTheme="minorEastAsia" w:eastAsiaTheme="minorEastAsia"/>
          <w:color w:val="000000"/>
          <w:kern w:val="2"/>
        </w:rPr>
        <w:t>.</w:t>
      </w:r>
      <w:r>
        <w:rPr>
          <w:rFonts w:hint="eastAsia" w:asciiTheme="minorEastAsia" w:hAnsiTheme="minorEastAsia" w:eastAsiaTheme="minorEastAsia"/>
          <w:color w:val="000000"/>
          <w:kern w:val="2"/>
        </w:rPr>
        <w:t>乙方应对甲方提出的违法、违规和不合理要求坚决予以拒绝，并及时报告监督管理部门。</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hint="eastAsia" w:asciiTheme="minorEastAsia" w:hAnsiTheme="minorEastAsia" w:eastAsiaTheme="minorEastAsia"/>
          <w:color w:val="000000"/>
          <w:kern w:val="2"/>
        </w:rPr>
        <w:t>8.乙方应按照规定的时间完成接待任务，不得无正当理由拖延时间或不主动与甲方办理相关疗休养手续。</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hint="eastAsia" w:asciiTheme="minorEastAsia" w:hAnsiTheme="minorEastAsia" w:eastAsiaTheme="minorEastAsia"/>
          <w:color w:val="000000"/>
          <w:kern w:val="2"/>
        </w:rPr>
        <w:t>9.在履行接待服务过程中，如果乙方遇到不能按时接待的情况，乙方应及时以书面形式将不能按时接待的理由、可能延误的时间通知甲方。甲方在收到乙方通知后，应对情况进行分析，决定是否继续疗休养项目、酌情延长疗休养时间或终止协议。</w:t>
      </w:r>
    </w:p>
    <w:p>
      <w:pPr>
        <w:autoSpaceDE w:val="0"/>
        <w:autoSpaceDN w:val="0"/>
        <w:adjustRightInd w:val="0"/>
        <w:spacing w:line="440" w:lineRule="exact"/>
        <w:ind w:firstLine="482"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三、付款方式</w:t>
      </w:r>
    </w:p>
    <w:p>
      <w:pPr>
        <w:spacing w:line="44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1.</w:t>
      </w:r>
      <w:r>
        <w:rPr>
          <w:rFonts w:hint="eastAsia" w:asciiTheme="minorEastAsia" w:hAnsiTheme="minorEastAsia" w:eastAsiaTheme="minorEastAsia"/>
          <w:color w:val="000000"/>
          <w:sz w:val="24"/>
        </w:rPr>
        <w:t>疗休养费用应包括：交通费、住宿费、伙食费、保险费、景点门票及相关活动费用，服务费用须包含在上述费用之中，不得另行收取，以上费用均含税金。</w:t>
      </w:r>
    </w:p>
    <w:p>
      <w:pPr>
        <w:spacing w:line="44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根据每批次参与疗休养的教职工人数，校方按3000元/人标准按实结算。</w:t>
      </w:r>
    </w:p>
    <w:p>
      <w:pPr>
        <w:spacing w:line="440" w:lineRule="exact"/>
        <w:ind w:firstLine="480" w:firstLineChars="200"/>
        <w:rPr>
          <w:rFonts w:asciiTheme="minorEastAsia" w:hAnsiTheme="minorEastAsia" w:eastAsiaTheme="minorEastAsia"/>
          <w:color w:val="000000"/>
          <w:sz w:val="24"/>
        </w:rPr>
      </w:pPr>
      <w:r>
        <w:rPr>
          <w:rFonts w:asciiTheme="minorEastAsia" w:hAnsiTheme="minorEastAsia" w:eastAsiaTheme="minorEastAsia"/>
          <w:color w:val="000000"/>
          <w:sz w:val="24"/>
        </w:rPr>
        <w:t>3.</w:t>
      </w:r>
      <w:r>
        <w:rPr>
          <w:rFonts w:hint="eastAsia" w:asciiTheme="minorEastAsia" w:hAnsiTheme="minorEastAsia" w:eastAsiaTheme="minorEastAsia"/>
          <w:color w:val="000000"/>
          <w:sz w:val="24"/>
        </w:rPr>
        <w:t>乙方银行账户信息：</w:t>
      </w:r>
    </w:p>
    <w:p>
      <w:pPr>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开户银行：                户    名：</w:t>
      </w:r>
    </w:p>
    <w:p>
      <w:pPr>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银行账号：</w:t>
      </w:r>
    </w:p>
    <w:p>
      <w:pPr>
        <w:autoSpaceDE w:val="0"/>
        <w:autoSpaceDN w:val="0"/>
        <w:adjustRightInd w:val="0"/>
        <w:spacing w:line="440" w:lineRule="exact"/>
        <w:ind w:firstLine="482"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四、违约责任</w:t>
      </w:r>
    </w:p>
    <w:p>
      <w:pPr>
        <w:pStyle w:val="21"/>
        <w:spacing w:before="0" w:beforeAutospacing="0" w:after="0" w:afterAutospacing="0" w:line="440" w:lineRule="exact"/>
        <w:ind w:firstLine="480" w:firstLineChars="200"/>
        <w:rPr>
          <w:rFonts w:hint="eastAsia" w:asciiTheme="minorEastAsia" w:hAnsiTheme="minorEastAsia" w:eastAsiaTheme="minorEastAsia"/>
          <w:kern w:val="2"/>
        </w:rPr>
      </w:pPr>
      <w:r>
        <w:rPr>
          <w:rFonts w:hint="eastAsia" w:asciiTheme="minorEastAsia" w:hAnsiTheme="minorEastAsia" w:eastAsiaTheme="minorEastAsia"/>
          <w:kern w:val="2"/>
        </w:rPr>
        <w:t>乙方有下列行为将作为违约：</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1.</w:t>
      </w:r>
      <w:r>
        <w:rPr>
          <w:rFonts w:hint="eastAsia" w:cs="Times New Roman" w:asciiTheme="minorEastAsia" w:hAnsiTheme="minorEastAsia" w:eastAsiaTheme="minorEastAsia"/>
          <w:kern w:val="2"/>
        </w:rPr>
        <w:t>逾期组团的，不可抗力除外；</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2.</w:t>
      </w:r>
      <w:r>
        <w:rPr>
          <w:rFonts w:hint="eastAsia" w:cs="Times New Roman" w:asciiTheme="minorEastAsia" w:hAnsiTheme="minorEastAsia" w:eastAsiaTheme="minorEastAsia"/>
          <w:kern w:val="2"/>
        </w:rPr>
        <w:t>不履行协议条款或只履行部分协议条款，或拒绝履行协议义务的；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3.</w:t>
      </w:r>
      <w:r>
        <w:rPr>
          <w:rFonts w:hint="eastAsia" w:cs="Times New Roman" w:asciiTheme="minorEastAsia" w:hAnsiTheme="minorEastAsia" w:eastAsiaTheme="minorEastAsia"/>
          <w:kern w:val="2"/>
        </w:rPr>
        <w:t>无正当理由拒绝接待职工疗休养的；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4.</w:t>
      </w:r>
      <w:r>
        <w:rPr>
          <w:rFonts w:hint="eastAsia" w:cs="Times New Roman" w:asciiTheme="minorEastAsia" w:hAnsiTheme="minorEastAsia" w:eastAsiaTheme="minorEastAsia"/>
          <w:kern w:val="2"/>
        </w:rPr>
        <w:t>乙方超过协议承诺的价格和费用标准、或高于市场价格向甲方收取费用的；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5.</w:t>
      </w:r>
      <w:r>
        <w:rPr>
          <w:rFonts w:hint="eastAsia" w:cs="Times New Roman" w:asciiTheme="minorEastAsia" w:hAnsiTheme="minorEastAsia" w:eastAsiaTheme="minorEastAsia"/>
          <w:kern w:val="2"/>
        </w:rPr>
        <w:t>在协议期限内发生安全责任事故的；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6.</w:t>
      </w:r>
      <w:r>
        <w:rPr>
          <w:rFonts w:hint="eastAsia" w:cs="Times New Roman" w:asciiTheme="minorEastAsia" w:hAnsiTheme="minorEastAsia" w:eastAsiaTheme="minorEastAsia"/>
          <w:kern w:val="2"/>
        </w:rPr>
        <w:t>不按相关规定租用车辆一次经查实的；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7.</w:t>
      </w:r>
      <w:r>
        <w:rPr>
          <w:rFonts w:hint="eastAsia" w:cs="Times New Roman" w:asciiTheme="minorEastAsia" w:hAnsiTheme="minorEastAsia" w:eastAsiaTheme="minorEastAsia"/>
          <w:kern w:val="2"/>
        </w:rPr>
        <w:t>在协议期限内发现给组团单位回扣的；</w:t>
      </w:r>
    </w:p>
    <w:p>
      <w:pPr>
        <w:pStyle w:val="21"/>
        <w:spacing w:before="0" w:beforeAutospacing="0" w:after="0" w:afterAutospacing="0" w:line="440" w:lineRule="exact"/>
        <w:ind w:firstLine="480" w:firstLineChars="200"/>
        <w:rPr>
          <w:rFonts w:cs="Times New Roman" w:asciiTheme="minorEastAsia" w:hAnsiTheme="minorEastAsia" w:eastAsiaTheme="minorEastAsia"/>
          <w:kern w:val="2"/>
        </w:rPr>
      </w:pPr>
      <w:r>
        <w:rPr>
          <w:rFonts w:hint="eastAsia" w:cs="Times New Roman" w:asciiTheme="minorEastAsia" w:hAnsiTheme="minorEastAsia" w:eastAsiaTheme="minorEastAsia"/>
          <w:kern w:val="2"/>
          <w:lang w:val="en-US" w:eastAsia="zh-CN"/>
        </w:rPr>
        <w:t>8.</w:t>
      </w:r>
      <w:r>
        <w:rPr>
          <w:rFonts w:hint="eastAsia" w:cs="Times New Roman" w:asciiTheme="minorEastAsia" w:hAnsiTheme="minorEastAsia" w:eastAsiaTheme="minorEastAsia"/>
          <w:kern w:val="2"/>
        </w:rPr>
        <w:t>违反采购法和国家其他的相关法律法规；</w:t>
      </w:r>
    </w:p>
    <w:p>
      <w:pPr>
        <w:pStyle w:val="21"/>
        <w:spacing w:before="0" w:beforeAutospacing="0" w:after="0" w:afterAutospacing="0" w:line="440" w:lineRule="exact"/>
        <w:ind w:firstLine="480" w:firstLineChars="200"/>
        <w:rPr>
          <w:rFonts w:hint="eastAsia" w:cs="Times New Roman" w:asciiTheme="minorEastAsia" w:hAnsiTheme="minorEastAsia" w:eastAsiaTheme="minorEastAsia"/>
          <w:kern w:val="2"/>
          <w:lang w:val="en-US" w:eastAsia="zh-CN"/>
        </w:rPr>
      </w:pPr>
      <w:r>
        <w:rPr>
          <w:rFonts w:hint="eastAsia" w:cs="Times New Roman" w:asciiTheme="minorEastAsia" w:hAnsiTheme="minorEastAsia" w:eastAsiaTheme="minorEastAsia"/>
          <w:kern w:val="2"/>
          <w:lang w:val="en-US" w:eastAsia="zh-CN"/>
        </w:rPr>
        <w:t>9.</w:t>
      </w:r>
      <w:r>
        <w:rPr>
          <w:rFonts w:hint="eastAsia" w:cs="Times New Roman" w:asciiTheme="minorEastAsia" w:hAnsiTheme="minorEastAsia" w:eastAsiaTheme="minorEastAsia"/>
          <w:kern w:val="2"/>
        </w:rPr>
        <w:t>在协议定点服务期限内发生</w:t>
      </w:r>
      <w:r>
        <w:rPr>
          <w:rFonts w:cs="Times New Roman" w:asciiTheme="minorEastAsia" w:hAnsiTheme="minorEastAsia" w:eastAsiaTheme="minorEastAsia"/>
          <w:kern w:val="2"/>
        </w:rPr>
        <w:t>1</w:t>
      </w:r>
      <w:r>
        <w:rPr>
          <w:rFonts w:hint="eastAsia" w:cs="Times New Roman" w:asciiTheme="minorEastAsia" w:hAnsiTheme="minorEastAsia" w:eastAsiaTheme="minorEastAsia"/>
          <w:kern w:val="2"/>
        </w:rPr>
        <w:t>次重大安全责任事故的</w:t>
      </w:r>
      <w:r>
        <w:rPr>
          <w:rFonts w:hint="eastAsia" w:cs="Times New Roman" w:asciiTheme="minorEastAsia" w:hAnsiTheme="minorEastAsia" w:eastAsiaTheme="minorEastAsia"/>
          <w:kern w:val="2"/>
          <w:lang w:eastAsia="zh-CN"/>
        </w:rPr>
        <w:t>；</w:t>
      </w:r>
    </w:p>
    <w:p>
      <w:pPr>
        <w:pStyle w:val="21"/>
        <w:keepNext w:val="0"/>
        <w:keepLines w:val="0"/>
        <w:pageBreakBefore w:val="0"/>
        <w:widowControl w:val="0"/>
        <w:kinsoku/>
        <w:wordWrap/>
        <w:overflowPunct/>
        <w:topLinePunct w:val="0"/>
        <w:autoSpaceDE/>
        <w:autoSpaceDN/>
        <w:bidi w:val="0"/>
        <w:adjustRightInd/>
        <w:snapToGrid/>
        <w:spacing w:before="0" w:beforeAutospacing="0" w:after="0" w:afterAutospacing="0" w:line="440" w:lineRule="exact"/>
        <w:ind w:firstLine="480" w:firstLineChars="200"/>
        <w:textAlignment w:val="auto"/>
        <w:rPr>
          <w:rFonts w:ascii="宋体" w:hAnsi="宋体" w:cs="仿宋_GB2312"/>
          <w:bCs/>
          <w:sz w:val="24"/>
        </w:rPr>
      </w:pPr>
      <w:r>
        <w:rPr>
          <w:rFonts w:hint="eastAsia" w:cs="Times New Roman" w:asciiTheme="minorEastAsia" w:hAnsiTheme="minorEastAsia" w:eastAsiaTheme="minorEastAsia"/>
          <w:kern w:val="2"/>
          <w:lang w:val="en-US" w:eastAsia="zh-CN"/>
        </w:rPr>
        <w:t>10.</w:t>
      </w:r>
      <w:r>
        <w:rPr>
          <w:rFonts w:hint="eastAsia" w:cs="Times New Roman" w:asciiTheme="minorEastAsia" w:hAnsiTheme="minorEastAsia" w:eastAsiaTheme="minorEastAsia"/>
          <w:kern w:val="2"/>
        </w:rPr>
        <w:t>甲方从住宿、餐饮、服务质量、参观体验等方面对已出行的团进行教职工疗休养满意度测评，如教职工疗休养测评满意度位于</w:t>
      </w:r>
      <w:r>
        <w:rPr>
          <w:rFonts w:hint="eastAsia" w:cs="仿宋_GB2312"/>
          <w:bCs/>
        </w:rPr>
        <w:t>70%～80%之间的，扣除该团总费用的5%作为约束；如教职工疗休养测评满意度位于60%～70%（含60%,70%）</w:t>
      </w:r>
      <w:r>
        <w:rPr>
          <w:rFonts w:hint="eastAsia" w:cs="Times New Roman" w:asciiTheme="minorEastAsia" w:hAnsiTheme="minorEastAsia" w:eastAsiaTheme="minorEastAsia"/>
          <w:kern w:val="2"/>
        </w:rPr>
        <w:t>的，扣除该团总费用的10%；如教职工疗休养测评满意度低于60%的，</w:t>
      </w:r>
      <w:r>
        <w:rPr>
          <w:rFonts w:hint="eastAsia" w:cs="仿宋_GB2312"/>
          <w:bCs/>
        </w:rPr>
        <w:t>扣除该团总费用的15%并且</w:t>
      </w:r>
      <w:r>
        <w:rPr>
          <w:rFonts w:hint="eastAsia" w:cs="Times New Roman" w:asciiTheme="minorEastAsia" w:hAnsiTheme="minorEastAsia" w:eastAsiaTheme="minorEastAsia"/>
          <w:kern w:val="2"/>
        </w:rPr>
        <w:t>第二年不再续签合同。</w:t>
      </w:r>
    </w:p>
    <w:p>
      <w:pPr>
        <w:autoSpaceDE w:val="0"/>
        <w:autoSpaceDN w:val="0"/>
        <w:adjustRightInd w:val="0"/>
        <w:spacing w:line="440" w:lineRule="exact"/>
        <w:ind w:firstLine="482" w:firstLineChars="200"/>
        <w:jc w:val="left"/>
        <w:outlineLvl w:val="1"/>
        <w:rPr>
          <w:rFonts w:asciiTheme="minorEastAsia" w:hAnsiTheme="minorEastAsia" w:eastAsiaTheme="minorEastAsia"/>
          <w:b/>
          <w:sz w:val="24"/>
        </w:rPr>
      </w:pPr>
      <w:r>
        <w:rPr>
          <w:rFonts w:hint="eastAsia" w:asciiTheme="minorEastAsia" w:hAnsiTheme="minorEastAsia" w:eastAsiaTheme="minorEastAsia"/>
          <w:b/>
          <w:sz w:val="24"/>
        </w:rPr>
        <w:t>五、不可抗力事件处理</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asciiTheme="minorEastAsia" w:hAnsiTheme="minorEastAsia" w:eastAsiaTheme="minorEastAsia"/>
          <w:color w:val="000000"/>
          <w:kern w:val="2"/>
        </w:rPr>
        <w:t>1.</w:t>
      </w:r>
      <w:r>
        <w:rPr>
          <w:rFonts w:hint="eastAsia" w:asciiTheme="minorEastAsia" w:hAnsiTheme="minorEastAsia" w:eastAsiaTheme="minorEastAsia"/>
          <w:color w:val="000000"/>
          <w:kern w:val="2"/>
        </w:rPr>
        <w:t>在执行合同期限内，任何一方因不可抗力事件所致不能履行合同，则合同履行期可延长，延长期与不可抗力影响期相同。</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asciiTheme="minorEastAsia" w:hAnsiTheme="minorEastAsia" w:eastAsiaTheme="minorEastAsia"/>
          <w:color w:val="000000"/>
          <w:kern w:val="2"/>
        </w:rPr>
        <w:t>2.</w:t>
      </w:r>
      <w:r>
        <w:rPr>
          <w:rFonts w:hint="eastAsia" w:asciiTheme="minorEastAsia" w:hAnsiTheme="minorEastAsia" w:eastAsiaTheme="minorEastAsia"/>
          <w:color w:val="000000"/>
          <w:kern w:val="2"/>
        </w:rPr>
        <w:t>不可抗力事件发生后，应立即通知对方，并寄送有关权威机构出具的证明。</w:t>
      </w:r>
      <w:r>
        <w:rPr>
          <w:rFonts w:asciiTheme="minorEastAsia" w:hAnsiTheme="minorEastAsia" w:eastAsiaTheme="minorEastAsia"/>
          <w:color w:val="000000"/>
          <w:kern w:val="2"/>
        </w:rPr>
        <w:t xml:space="preserve"> </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asciiTheme="minorEastAsia" w:hAnsiTheme="minorEastAsia" w:eastAsiaTheme="minorEastAsia"/>
          <w:color w:val="000000"/>
          <w:kern w:val="2"/>
        </w:rPr>
        <w:t>3.</w:t>
      </w:r>
      <w:r>
        <w:rPr>
          <w:rFonts w:hint="eastAsia" w:asciiTheme="minorEastAsia" w:hAnsiTheme="minorEastAsia" w:eastAsiaTheme="minorEastAsia"/>
          <w:color w:val="000000"/>
          <w:kern w:val="2"/>
        </w:rPr>
        <w:t>不可抗力事件延续</w:t>
      </w:r>
      <w:r>
        <w:rPr>
          <w:rFonts w:asciiTheme="minorEastAsia" w:hAnsiTheme="minorEastAsia" w:eastAsiaTheme="minorEastAsia"/>
          <w:color w:val="000000"/>
          <w:kern w:val="2"/>
        </w:rPr>
        <w:t>60</w:t>
      </w:r>
      <w:r>
        <w:rPr>
          <w:rFonts w:hint="eastAsia" w:asciiTheme="minorEastAsia" w:hAnsiTheme="minorEastAsia" w:eastAsiaTheme="minorEastAsia"/>
          <w:color w:val="000000"/>
          <w:kern w:val="2"/>
        </w:rPr>
        <w:t>天以上，双方应通过友好协商，确定是否继续履行合同。</w:t>
      </w:r>
    </w:p>
    <w:p>
      <w:pPr>
        <w:autoSpaceDE w:val="0"/>
        <w:autoSpaceDN w:val="0"/>
        <w:adjustRightInd w:val="0"/>
        <w:spacing w:line="440" w:lineRule="exact"/>
        <w:ind w:firstLine="482"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六、解决合同争议的方式</w:t>
      </w:r>
    </w:p>
    <w:p>
      <w:pPr>
        <w:autoSpaceDE w:val="0"/>
        <w:autoSpaceDN w:val="0"/>
        <w:adjustRightInd w:val="0"/>
        <w:spacing w:line="440" w:lineRule="exact"/>
        <w:ind w:firstLine="240" w:firstLineChars="100"/>
        <w:jc w:val="left"/>
        <w:outlineLvl w:val="1"/>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 本合同在履行过程中产生纠纷时，双方应协商解决。如协商不成，任何一方均有权向甲方所在地有管辖权的人民法院起诉。</w:t>
      </w:r>
    </w:p>
    <w:p>
      <w:pPr>
        <w:pStyle w:val="13"/>
        <w:spacing w:before="0" w:beforeAutospacing="0" w:after="0" w:afterAutospacing="0" w:line="440" w:lineRule="exact"/>
        <w:ind w:firstLine="495"/>
        <w:rPr>
          <w:rFonts w:asciiTheme="minorEastAsia" w:hAnsiTheme="minorEastAsia" w:eastAsiaTheme="minorEastAsia"/>
          <w:color w:val="000000"/>
          <w:kern w:val="2"/>
        </w:rPr>
      </w:pPr>
      <w:r>
        <w:rPr>
          <w:rFonts w:hint="eastAsia" w:asciiTheme="minorEastAsia" w:hAnsiTheme="minorEastAsia" w:eastAsiaTheme="minorEastAsia"/>
          <w:color w:val="000000"/>
          <w:kern w:val="2"/>
        </w:rPr>
        <w:t>甲方通知送达地址：浙江省衢州市柯城区九华北大道78号。</w:t>
      </w:r>
    </w:p>
    <w:p>
      <w:pPr>
        <w:pStyle w:val="13"/>
        <w:spacing w:before="0" w:beforeAutospacing="0" w:after="0" w:afterAutospacing="0" w:line="440" w:lineRule="exact"/>
        <w:ind w:firstLine="495"/>
        <w:rPr>
          <w:rFonts w:asciiTheme="minorEastAsia" w:hAnsiTheme="minorEastAsia" w:eastAsiaTheme="minorEastAsia"/>
          <w:color w:val="000000"/>
          <w:kern w:val="2"/>
        </w:rPr>
      </w:pPr>
      <w:r>
        <w:rPr>
          <w:rFonts w:hint="eastAsia" w:asciiTheme="minorEastAsia" w:hAnsiTheme="minorEastAsia" w:eastAsiaTheme="minorEastAsia"/>
          <w:color w:val="000000"/>
          <w:kern w:val="2"/>
        </w:rPr>
        <w:t>乙方通知送达地址：</w:t>
      </w:r>
    </w:p>
    <w:p>
      <w:pPr>
        <w:autoSpaceDE w:val="0"/>
        <w:autoSpaceDN w:val="0"/>
        <w:adjustRightInd w:val="0"/>
        <w:spacing w:line="440" w:lineRule="exact"/>
        <w:ind w:firstLine="482" w:firstLineChars="200"/>
        <w:jc w:val="left"/>
        <w:outlineLvl w:val="1"/>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七、合同的生效</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asciiTheme="minorEastAsia" w:hAnsiTheme="minorEastAsia" w:eastAsiaTheme="minorEastAsia"/>
          <w:color w:val="000000"/>
          <w:kern w:val="2"/>
        </w:rPr>
        <w:t>1.</w:t>
      </w:r>
      <w:r>
        <w:rPr>
          <w:rFonts w:hint="eastAsia" w:asciiTheme="minorEastAsia" w:hAnsiTheme="minorEastAsia" w:eastAsiaTheme="minorEastAsia"/>
          <w:color w:val="000000"/>
          <w:kern w:val="2"/>
        </w:rPr>
        <w:t>本合同一式肆份，甲乙双方各执方贰份。附件为本合同一部分，具有同等法律效力。附件含甲方的采购文件、乙方的投标文件及乙方承诺书。</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rPr>
      </w:pPr>
      <w:r>
        <w:rPr>
          <w:rFonts w:asciiTheme="minorEastAsia" w:hAnsiTheme="minorEastAsia" w:eastAsiaTheme="minorEastAsia"/>
          <w:color w:val="000000"/>
          <w:kern w:val="2"/>
        </w:rPr>
        <w:t>2.</w:t>
      </w:r>
      <w:r>
        <w:rPr>
          <w:rFonts w:hint="eastAsia" w:asciiTheme="minorEastAsia" w:hAnsiTheme="minorEastAsia" w:eastAsiaTheme="minorEastAsia"/>
          <w:color w:val="000000"/>
          <w:kern w:val="2"/>
        </w:rPr>
        <w:t>本合同自双方授权代表签字、盖章之日起生效。合同执行期内，甲乙双方均不得随意变更或解除合同。合同如有未尽事宜，须经双方共同协商，做出补充规定，补充规定与合同具有同等效力。</w:t>
      </w:r>
    </w:p>
    <w:p>
      <w:pPr>
        <w:pStyle w:val="21"/>
        <w:spacing w:before="0" w:beforeAutospacing="0" w:after="0" w:afterAutospacing="0" w:line="440" w:lineRule="exact"/>
        <w:ind w:firstLine="480" w:firstLineChars="200"/>
        <w:rPr>
          <w:rFonts w:asciiTheme="minorEastAsia" w:hAnsiTheme="minorEastAsia" w:eastAsiaTheme="minorEastAsia"/>
          <w:color w:val="000000"/>
          <w:kern w:val="2"/>
          <w:highlight w:val="yellow"/>
        </w:rPr>
      </w:pPr>
      <w:r>
        <w:rPr>
          <w:rFonts w:hint="eastAsia" w:asciiTheme="minorEastAsia" w:hAnsiTheme="minorEastAsia" w:eastAsiaTheme="minorEastAsia"/>
          <w:color w:val="000000"/>
          <w:kern w:val="2"/>
        </w:rPr>
        <w:t>3.本合同有效期至**年**月**日。</w:t>
      </w:r>
    </w:p>
    <w:p>
      <w:pPr>
        <w:spacing w:line="440" w:lineRule="exact"/>
        <w:ind w:firstLine="472" w:firstLineChars="196"/>
        <w:jc w:val="left"/>
        <w:outlineLvl w:val="1"/>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八、双方签字、盖章</w:t>
      </w:r>
    </w:p>
    <w:p>
      <w:pPr>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甲方单位名称（公章）：　　       乙方单位名称（公章）：</w:t>
      </w:r>
    </w:p>
    <w:p>
      <w:pPr>
        <w:spacing w:line="440" w:lineRule="exact"/>
        <w:rPr>
          <w:rFonts w:asciiTheme="minorEastAsia" w:hAnsiTheme="minorEastAsia" w:eastAsiaTheme="minorEastAsia"/>
          <w:b/>
          <w:color w:val="000000"/>
          <w:sz w:val="24"/>
        </w:rPr>
      </w:pPr>
      <w:r>
        <w:rPr>
          <w:rFonts w:hint="eastAsia" w:asciiTheme="minorEastAsia" w:hAnsiTheme="minorEastAsia" w:eastAsiaTheme="minorEastAsia"/>
          <w:color w:val="000000"/>
          <w:sz w:val="24"/>
        </w:rPr>
        <w:t>　　法定（授权）代表人：　　　　　　 法定（授权）代表人：　</w:t>
      </w:r>
    </w:p>
    <w:p>
      <w:pPr>
        <w:spacing w:line="440" w:lineRule="exact"/>
        <w:ind w:firstLine="480" w:firstLineChars="200"/>
        <w:jc w:val="right"/>
        <w:rPr>
          <w:rFonts w:asciiTheme="minorEastAsia" w:hAnsiTheme="minorEastAsia" w:eastAsiaTheme="minorEastAsia"/>
          <w:color w:val="000000"/>
          <w:sz w:val="24"/>
        </w:rPr>
      </w:pPr>
      <w:r>
        <w:rPr>
          <w:rFonts w:hint="eastAsia" w:asciiTheme="minorEastAsia" w:hAnsiTheme="minorEastAsia" w:eastAsiaTheme="minorEastAsia"/>
          <w:color w:val="000000"/>
          <w:sz w:val="24"/>
        </w:rPr>
        <w:t>合同签订日期：　年　月　日</w:t>
      </w:r>
    </w:p>
    <w:p>
      <w:pPr>
        <w:spacing w:line="440" w:lineRule="exact"/>
        <w:ind w:firstLine="480" w:firstLineChars="200"/>
        <w:rPr>
          <w:rFonts w:asciiTheme="minorEastAsia" w:hAnsiTheme="minorEastAsia" w:eastAsiaTheme="minorEastAsia"/>
          <w:color w:val="000000"/>
          <w:sz w:val="24"/>
        </w:rPr>
      </w:pPr>
    </w:p>
    <w:p>
      <w:pPr>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本合同均为打印版本，未加盖甲方公章的手写部分无效。　</w:t>
      </w:r>
    </w:p>
    <w:p>
      <w:pPr>
        <w:spacing w:line="440" w:lineRule="exact"/>
        <w:ind w:firstLine="480" w:firstLineChars="200"/>
        <w:rPr>
          <w:rFonts w:asciiTheme="minorEastAsia" w:hAnsiTheme="minorEastAsia" w:eastAsiaTheme="minorEastAsia"/>
          <w:color w:val="000000"/>
          <w:sz w:val="24"/>
        </w:rPr>
      </w:pPr>
    </w:p>
    <w:p>
      <w:pPr>
        <w:spacing w:line="360" w:lineRule="auto"/>
        <w:outlineLvl w:val="0"/>
        <w:rPr>
          <w:rFonts w:ascii="宋体" w:hAnsi="宋体"/>
          <w:b/>
          <w:color w:val="000000"/>
          <w:sz w:val="32"/>
        </w:rPr>
      </w:pPr>
    </w:p>
    <w:p>
      <w:pPr>
        <w:spacing w:line="360" w:lineRule="auto"/>
        <w:jc w:val="center"/>
        <w:outlineLvl w:val="0"/>
        <w:rPr>
          <w:rFonts w:ascii="宋体" w:hAnsi="宋体"/>
          <w:b/>
          <w:color w:val="000000"/>
          <w:sz w:val="32"/>
        </w:rPr>
      </w:pPr>
    </w:p>
    <w:p>
      <w:pPr>
        <w:spacing w:line="360" w:lineRule="auto"/>
        <w:jc w:val="center"/>
        <w:outlineLvl w:val="0"/>
        <w:rPr>
          <w:rFonts w:ascii="宋体" w:hAnsi="宋体"/>
          <w:b/>
          <w:color w:val="000000"/>
          <w:sz w:val="32"/>
        </w:rPr>
      </w:pPr>
    </w:p>
    <w:p>
      <w:pPr>
        <w:spacing w:line="360" w:lineRule="auto"/>
        <w:jc w:val="center"/>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sz w:val="24"/>
        </w:rPr>
      </w:pPr>
      <w:r>
        <w:rPr>
          <w:rFonts w:hint="eastAsia" w:ascii="宋体" w:hAnsi="宋体"/>
          <w:color w:val="000000"/>
          <w:sz w:val="24"/>
        </w:rPr>
        <w:t>2.在评标期间</w:t>
      </w:r>
      <w:bookmarkStart w:id="5" w:name="_Hlk41297247"/>
      <w:r>
        <w:rPr>
          <w:rFonts w:hint="eastAsia" w:ascii="宋体" w:hAnsi="宋体"/>
          <w:color w:val="000000"/>
          <w:sz w:val="24"/>
        </w:rPr>
        <w:t>，投标人应派代表参加询标</w:t>
      </w:r>
      <w:bookmarkEnd w:id="5"/>
      <w:r>
        <w:rPr>
          <w:rFonts w:hint="eastAsia" w:ascii="宋体" w:hAnsi="宋体"/>
          <w:color w:val="000000"/>
          <w:sz w:val="24"/>
        </w:rPr>
        <w:t>,</w:t>
      </w:r>
      <w:r>
        <w:rPr>
          <w:rFonts w:hint="eastAsia" w:ascii="宋体" w:hAnsi="宋体"/>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sz w:val="24"/>
        </w:rPr>
      </w:pPr>
      <w:r>
        <w:rPr>
          <w:rFonts w:hint="eastAsia" w:ascii="宋体" w:hAnsi="宋体"/>
          <w:b/>
          <w:sz w:val="24"/>
        </w:rPr>
        <w:t>二、评标原则</w:t>
      </w:r>
    </w:p>
    <w:p>
      <w:pPr>
        <w:pStyle w:val="7"/>
        <w:snapToGrid w:val="0"/>
        <w:spacing w:line="360" w:lineRule="auto"/>
        <w:ind w:firstLine="480"/>
        <w:rPr>
          <w:rFonts w:hint="eastAsia" w:hAnsi="宋体"/>
          <w:color w:val="FF0000"/>
          <w:sz w:val="24"/>
        </w:rPr>
      </w:pPr>
      <w:r>
        <w:rPr>
          <w:rFonts w:hint="eastAsia" w:hAnsi="宋体"/>
          <w:color w:val="FF0000"/>
          <w:sz w:val="24"/>
        </w:rPr>
        <w:t>1.</w:t>
      </w:r>
      <w:r>
        <w:rPr>
          <w:rFonts w:hint="eastAsia" w:hAnsi="宋体"/>
          <w:color w:val="FF0000"/>
          <w:sz w:val="24"/>
          <w:lang w:val="en-US" w:eastAsia="zh-CN"/>
        </w:rPr>
        <w:t xml:space="preserve"> </w:t>
      </w:r>
      <w:r>
        <w:rPr>
          <w:rFonts w:hint="eastAsia" w:hAnsi="宋体"/>
          <w:color w:val="FF0000"/>
          <w:sz w:val="24"/>
        </w:rPr>
        <w:t>评标委员会将遵循公开、公平、公正的原则，对投标人提供的服务方案、经营情况、技术力量等进行综合分析考评，由评委记名并独立打分，评委所评分值的算术平均值即为各供应商的商务技术得分（保留两位小数），商务技术得分加报价得分（报价须参照职工疗休养经费标准，未按标准响应的为无效报价）为总分，总分最高者为第一中标候选人，总分第二高者为第二中标候选人。</w:t>
      </w:r>
    </w:p>
    <w:p>
      <w:pPr>
        <w:pStyle w:val="7"/>
        <w:snapToGrid w:val="0"/>
        <w:spacing w:line="360" w:lineRule="auto"/>
        <w:ind w:firstLine="480"/>
        <w:rPr>
          <w:rFonts w:hAnsi="宋体"/>
          <w:color w:val="000000"/>
          <w:sz w:val="24"/>
        </w:rPr>
      </w:pPr>
      <w:r>
        <w:rPr>
          <w:rFonts w:hint="eastAsia" w:hAnsi="宋体"/>
          <w:sz w:val="24"/>
          <w:lang w:val="en-US" w:eastAsia="zh-CN"/>
        </w:rPr>
        <w:t>2</w:t>
      </w:r>
      <w:r>
        <w:rPr>
          <w:rFonts w:hint="eastAsia" w:hAnsi="宋体"/>
          <w:sz w:val="24"/>
        </w:rPr>
        <w:t>. 客观公正的对待所有投标人，对所有投标评价，均采用相同的程序和标</w:t>
      </w:r>
      <w:r>
        <w:rPr>
          <w:rFonts w:hint="eastAsia" w:hAnsi="宋体"/>
          <w:color w:val="000000"/>
          <w:sz w:val="24"/>
        </w:rPr>
        <w:t>准。</w:t>
      </w:r>
    </w:p>
    <w:p>
      <w:pPr>
        <w:pStyle w:val="7"/>
        <w:snapToGrid w:val="0"/>
        <w:spacing w:line="360" w:lineRule="auto"/>
        <w:ind w:firstLine="480"/>
        <w:rPr>
          <w:rFonts w:hAnsi="宋体"/>
          <w:color w:val="000000"/>
          <w:sz w:val="24"/>
        </w:rPr>
      </w:pPr>
      <w:r>
        <w:rPr>
          <w:rFonts w:hint="eastAsia" w:hAnsi="宋体"/>
          <w:color w:val="000000"/>
          <w:sz w:val="24"/>
          <w:lang w:val="en-US" w:eastAsia="zh-CN"/>
        </w:rPr>
        <w:t>3</w:t>
      </w:r>
      <w:r>
        <w:rPr>
          <w:rFonts w:hint="eastAsia" w:hAnsi="宋体"/>
          <w:color w:val="000000"/>
          <w:sz w:val="24"/>
        </w:rPr>
        <w:t>.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lang w:val="en-US" w:eastAsia="zh-CN"/>
        </w:rPr>
        <w:t>4</w:t>
      </w:r>
      <w:r>
        <w:rPr>
          <w:rFonts w:hint="eastAsia" w:hAnsi="宋体"/>
          <w:color w:val="000000"/>
          <w:sz w:val="24"/>
        </w:rPr>
        <w:t>.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lang w:val="en-US" w:eastAsia="zh-CN"/>
        </w:rPr>
        <w:t>5</w:t>
      </w:r>
      <w:r>
        <w:rPr>
          <w:rFonts w:hint="eastAsia" w:hAnsi="宋体"/>
          <w:color w:val="000000"/>
          <w:sz w:val="24"/>
        </w:rPr>
        <w:t>.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lang w:val="en-US" w:eastAsia="zh-CN"/>
        </w:rPr>
        <w:t>6</w:t>
      </w:r>
      <w:r>
        <w:rPr>
          <w:rFonts w:hint="eastAsia" w:hAnsi="宋体"/>
          <w:color w:val="000000"/>
          <w:sz w:val="24"/>
        </w:rPr>
        <w:t>. 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lang w:val="en-US" w:eastAsia="zh-CN"/>
        </w:rPr>
        <w:t>7</w:t>
      </w:r>
      <w:r>
        <w:rPr>
          <w:rFonts w:hint="eastAsia" w:hAnsi="宋体"/>
          <w:color w:val="000000"/>
          <w:sz w:val="24"/>
        </w:rPr>
        <w:t>.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tbl>
      <w:tblPr>
        <w:tblStyle w:val="14"/>
        <w:tblW w:w="8031" w:type="dxa"/>
        <w:tblInd w:w="4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851"/>
        <w:gridCol w:w="5528"/>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01"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类别</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项目</w:t>
            </w:r>
          </w:p>
        </w:tc>
        <w:tc>
          <w:tcPr>
            <w:tcW w:w="5528"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具体描述评分细则及标准评分标准</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01" w:type="dxa"/>
            <w:tcBorders>
              <w:top w:val="single" w:color="auto" w:sz="4" w:space="0"/>
              <w:left w:val="single" w:color="auto" w:sz="4" w:space="0"/>
              <w:bottom w:val="single" w:color="auto" w:sz="4" w:space="0"/>
              <w:right w:val="single" w:color="auto" w:sz="4" w:space="0"/>
            </w:tcBorders>
            <w:vAlign w:val="center"/>
          </w:tcPr>
          <w:p>
            <w:pPr>
              <w:spacing w:line="360" w:lineRule="auto"/>
              <w:ind w:right="3"/>
              <w:rPr>
                <w:rFonts w:asciiTheme="minorEastAsia" w:hAnsiTheme="minorEastAsia" w:eastAsiaTheme="minorEastAsia"/>
                <w:color w:val="000000"/>
                <w:sz w:val="24"/>
              </w:rPr>
            </w:pPr>
            <w:r>
              <w:rPr>
                <w:rFonts w:hint="eastAsia" w:asciiTheme="minorEastAsia" w:hAnsiTheme="minorEastAsia" w:eastAsiaTheme="minorEastAsia"/>
                <w:color w:val="000000"/>
                <w:sz w:val="24"/>
              </w:rPr>
              <w:t>报价</w:t>
            </w:r>
          </w:p>
          <w:p>
            <w:pPr>
              <w:spacing w:line="360" w:lineRule="auto"/>
              <w:ind w:right="3"/>
              <w:rPr>
                <w:rFonts w:asciiTheme="minorEastAsia" w:hAnsiTheme="minorEastAsia" w:eastAsiaTheme="minorEastAsia"/>
                <w:color w:val="000000"/>
                <w:sz w:val="24"/>
              </w:rPr>
            </w:pPr>
            <w:r>
              <w:rPr>
                <w:rFonts w:hint="eastAsia" w:asciiTheme="minorEastAsia" w:hAnsiTheme="minorEastAsia" w:eastAsiaTheme="minorEastAsia"/>
                <w:color w:val="000000"/>
                <w:sz w:val="24"/>
              </w:rPr>
              <w:t>得分</w:t>
            </w:r>
          </w:p>
          <w:p>
            <w:pPr>
              <w:pStyle w:val="2"/>
              <w:ind w:left="0" w:leftChars="0" w:firstLine="0" w:firstLineChars="0"/>
              <w:rPr>
                <w:rFonts w:asciiTheme="minorEastAsia" w:hAnsiTheme="minorEastAsia" w:eastAsiaTheme="minorEastAsia"/>
                <w:sz w:val="24"/>
              </w:rPr>
            </w:pPr>
            <w:r>
              <w:rPr>
                <w:rFonts w:hint="eastAsia" w:asciiTheme="minorEastAsia" w:hAnsiTheme="minorEastAsia" w:eastAsiaTheme="minorEastAsia"/>
                <w:color w:val="000000"/>
                <w:sz w:val="24"/>
              </w:rPr>
              <w:t>10分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报价</w:t>
            </w:r>
          </w:p>
        </w:tc>
        <w:tc>
          <w:tcPr>
            <w:tcW w:w="5528" w:type="dxa"/>
            <w:tcBorders>
              <w:top w:val="single" w:color="auto" w:sz="4" w:space="0"/>
              <w:left w:val="single" w:color="auto" w:sz="4" w:space="0"/>
              <w:bottom w:val="single" w:color="auto" w:sz="4" w:space="0"/>
              <w:right w:val="single" w:color="auto" w:sz="4" w:space="0"/>
            </w:tcBorders>
            <w:vAlign w:val="center"/>
          </w:tcPr>
          <w:p>
            <w:pPr>
              <w:pStyle w:val="7"/>
              <w:snapToGrid w:val="0"/>
              <w:spacing w:line="360" w:lineRule="auto"/>
              <w:rPr>
                <w:rFonts w:asciiTheme="minorEastAsia" w:hAnsiTheme="minorEastAsia" w:eastAsiaTheme="minorEastAsia"/>
                <w:color w:val="FF0000"/>
                <w:sz w:val="24"/>
                <w:szCs w:val="24"/>
              </w:rPr>
            </w:pPr>
            <w:r>
              <w:rPr>
                <w:rFonts w:hint="eastAsia" w:cs="Times New Roman" w:asciiTheme="minorEastAsia" w:hAnsiTheme="minorEastAsia" w:eastAsiaTheme="minorEastAsia"/>
                <w:kern w:val="2"/>
                <w:sz w:val="24"/>
                <w:szCs w:val="24"/>
                <w:lang w:val="en-US" w:eastAsia="zh-CN" w:bidi="ar-SA"/>
              </w:rPr>
              <w:t>本项目按职工疗休养经费标准执行，根据衢总工字〔2021〕12号《关于调整和完善职工疗休养政策的通知》，疗休养费用标准按不高于600元/人/天的限额，总费用不高于3000元/人/年的限额。具体报价见格式七-报价一览表（固定报价）。</w:t>
            </w:r>
            <w:r>
              <w:rPr>
                <w:rFonts w:hint="eastAsia" w:cs="Times New Roman" w:asciiTheme="minorEastAsia" w:hAnsiTheme="minorEastAsia" w:eastAsiaTheme="minorEastAsia"/>
                <w:b/>
                <w:bCs/>
                <w:kern w:val="2"/>
                <w:sz w:val="24"/>
                <w:szCs w:val="24"/>
                <w:lang w:val="en-US" w:eastAsia="zh-CN" w:bidi="ar-SA"/>
              </w:rPr>
              <w:t>对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ind w:right="3"/>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0" w:hRule="atLeast"/>
        </w:trPr>
        <w:tc>
          <w:tcPr>
            <w:tcW w:w="801" w:type="dxa"/>
            <w:vMerge w:val="restart"/>
            <w:tcBorders>
              <w:top w:val="single" w:color="auto" w:sz="4" w:space="0"/>
              <w:left w:val="single" w:color="auto" w:sz="4" w:space="0"/>
              <w:right w:val="single" w:color="auto" w:sz="4" w:space="0"/>
            </w:tcBorders>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商务技术方案90分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经营情况</w:t>
            </w:r>
          </w:p>
        </w:tc>
        <w:tc>
          <w:tcPr>
            <w:tcW w:w="5528" w:type="dxa"/>
            <w:tcBorders>
              <w:top w:val="single" w:color="auto" w:sz="4" w:space="0"/>
              <w:left w:val="single" w:color="auto" w:sz="4" w:space="0"/>
              <w:right w:val="single" w:color="auto" w:sz="4" w:space="0"/>
            </w:tcBorders>
            <w:vAlign w:val="center"/>
          </w:tcPr>
          <w:p>
            <w:pPr>
              <w:widowControl/>
              <w:numPr>
                <w:ilvl w:val="0"/>
                <w:numId w:val="3"/>
              </w:num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投标人营业执照注册地在衢州市区内的得5分，衢州市以外浙江省内的得2分，其余不得分。（0-5分）</w:t>
            </w:r>
          </w:p>
          <w:p>
            <w:pPr>
              <w:widowControl/>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2.根据投标人经营场所的产权属性和面积情况综合评分。（0-4分）（提供有效产权证或房屋租赁合同扫描件）</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851" w:type="dxa"/>
            <w:vMerge w:val="restart"/>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技术力量</w:t>
            </w:r>
          </w:p>
        </w:tc>
        <w:tc>
          <w:tcPr>
            <w:tcW w:w="5528" w:type="dxa"/>
            <w:tcBorders>
              <w:top w:val="single" w:color="auto" w:sz="4" w:space="0"/>
              <w:left w:val="single" w:color="auto" w:sz="4" w:space="0"/>
              <w:right w:val="single" w:color="auto" w:sz="4" w:space="0"/>
            </w:tcBorders>
            <w:vAlign w:val="center"/>
          </w:tcPr>
          <w:p>
            <w:pPr>
              <w:widowControl/>
              <w:spacing w:line="400" w:lineRule="exact"/>
              <w:jc w:val="left"/>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投标人自2018年1月1日起至今获得行政机关颁发的荣誉、奖励情况：地市级的每项得0.5分，省级的每项得1分，国家级每项得1.5分，本项最高得3分，未提供相关荣誉奖励证书材料的不给分（同一表彰及荣誉不重复计分）。</w:t>
            </w:r>
            <w:r>
              <w:rPr>
                <w:rFonts w:hint="eastAsia" w:asciiTheme="minorEastAsia" w:hAnsiTheme="minorEastAsia" w:eastAsiaTheme="minorEastAsia"/>
                <w:sz w:val="24"/>
                <w:lang w:val="en-US" w:eastAsia="zh-CN"/>
              </w:rPr>
              <w:t>(0-3分)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85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528" w:type="dxa"/>
            <w:tcBorders>
              <w:top w:val="single" w:color="auto" w:sz="4" w:space="0"/>
              <w:left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投标人拟投入本项目职工人数满9名得4分，在此基础上每增加1人加0.5分，最多得8分；不足9名的，每少1名扣0.5分，扣完为止。（提供近3个月投标人为相应职工缴纳社保的证明，无社保缴纳证明不得分）</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0-8分</w:t>
            </w:r>
            <w:r>
              <w:rPr>
                <w:rFonts w:hint="eastAsia" w:asciiTheme="minorEastAsia" w:hAnsiTheme="minorEastAsia" w:eastAsiaTheme="minorEastAsia"/>
                <w:sz w:val="24"/>
                <w:lang w:eastAsia="zh-CN"/>
              </w:rPr>
              <w:t>）</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85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528" w:type="dxa"/>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1.投标人拟投入本项目人员中具备导游资质的职工人数满9名得4分，在此基础上每增加1人加0.5分，最多得8分；不足9名的，每少1名扣0.5分，扣完为止。（0-8分）</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2.投标人拟投入本项目人员中具有高级导游证书的，每人加1分，具有中级导游证书的每人加0.5分，最高得5分，单个人员记最高得分不重复计分。（0-5分）（提供近3个月投标人为相应职工缴纳社保的证明，无社保缴纳证明不得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rPr>
            </w:pPr>
          </w:p>
        </w:tc>
        <w:tc>
          <w:tcPr>
            <w:tcW w:w="851"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经营</w:t>
            </w:r>
          </w:p>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业绩</w:t>
            </w:r>
          </w:p>
        </w:tc>
        <w:tc>
          <w:tcPr>
            <w:tcW w:w="5528" w:type="dxa"/>
            <w:tcBorders>
              <w:top w:val="single" w:color="auto" w:sz="4" w:space="0"/>
              <w:left w:val="single" w:color="auto" w:sz="4" w:space="0"/>
              <w:right w:val="single" w:color="auto" w:sz="4" w:space="0"/>
            </w:tcBorders>
            <w:vAlign w:val="center"/>
          </w:tcPr>
          <w:p>
            <w:pPr>
              <w:spacing w:line="40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2018年1月1日以来（以合同签订时间为准）实施的机关或事业单位同类职工疗休养项目，1个项目合同原件扫描件得1分，最高得5分，同一项目不同批次合同只认定为一个合同。</w:t>
            </w:r>
            <w:r>
              <w:rPr>
                <w:rFonts w:hint="eastAsia" w:asciiTheme="minorEastAsia" w:hAnsiTheme="minorEastAsia" w:eastAsiaTheme="minorEastAsia"/>
                <w:sz w:val="24"/>
                <w:lang w:eastAsia="zh-CN"/>
              </w:rPr>
              <w:t>（</w:t>
            </w:r>
            <w:r>
              <w:rPr>
                <w:rFonts w:hint="eastAsia" w:asciiTheme="minorEastAsia" w:hAnsiTheme="minorEastAsia" w:eastAsiaTheme="minorEastAsia"/>
                <w:sz w:val="24"/>
                <w:lang w:val="en-US" w:eastAsia="zh-CN"/>
              </w:rPr>
              <w:t>0-5分</w:t>
            </w:r>
            <w:r>
              <w:rPr>
                <w:rFonts w:hint="eastAsia" w:asciiTheme="minorEastAsia" w:hAnsiTheme="minorEastAsia" w:eastAsiaTheme="minorEastAsia"/>
                <w:sz w:val="24"/>
                <w:lang w:eastAsia="zh-CN"/>
              </w:rPr>
              <w:t>）</w:t>
            </w:r>
          </w:p>
        </w:tc>
        <w:tc>
          <w:tcPr>
            <w:tcW w:w="851" w:type="dxa"/>
            <w:tcBorders>
              <w:top w:val="single" w:color="auto" w:sz="4" w:space="0"/>
              <w:left w:val="single" w:color="auto" w:sz="4" w:space="0"/>
              <w:right w:val="single" w:color="auto" w:sz="4" w:space="0"/>
            </w:tcBorders>
            <w:vAlign w:val="center"/>
          </w:tcPr>
          <w:p>
            <w:pPr>
              <w:widowControl/>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安全保障</w:t>
            </w:r>
          </w:p>
        </w:tc>
        <w:tc>
          <w:tcPr>
            <w:tcW w:w="5528" w:type="dxa"/>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1.根据投标人针对本项目的服务热线、投诉热线、应急方案等综合评分。（0-4分）。</w:t>
            </w:r>
          </w:p>
          <w:p>
            <w:pPr>
              <w:pStyle w:val="2"/>
              <w:ind w:left="0" w:leftChars="0" w:firstLine="0" w:firstLineChars="0"/>
              <w:rPr>
                <w:rFonts w:asciiTheme="minorEastAsia" w:hAnsiTheme="minorEastAsia" w:eastAsiaTheme="minorEastAsia"/>
                <w:sz w:val="24"/>
              </w:rPr>
            </w:pPr>
            <w:r>
              <w:rPr>
                <w:rFonts w:hint="eastAsia" w:asciiTheme="minorEastAsia" w:hAnsiTheme="minorEastAsia" w:eastAsiaTheme="minorEastAsia"/>
                <w:sz w:val="24"/>
              </w:rPr>
              <w:t>2.根据新冠疫情形势，制定疗休养疫情防控预案。（0-2分）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851"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服务</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方案</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（投标人</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提供</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指定线路）</w:t>
            </w:r>
          </w:p>
        </w:tc>
        <w:tc>
          <w:tcPr>
            <w:tcW w:w="5528" w:type="dxa"/>
            <w:tcBorders>
              <w:top w:val="single" w:color="auto" w:sz="4" w:space="0"/>
              <w:left w:val="single" w:color="auto" w:sz="4" w:space="0"/>
              <w:right w:val="single" w:color="auto" w:sz="4" w:space="0"/>
            </w:tcBorders>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疗休养线路的设计方案情况，由评委综合评定：</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1.符合疗休养政策（0-4分）；</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2.线路设计合理性（0-6分）；</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3.体现疗休养理念（0-3分）；</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4.线路设计报价公开、透明，服务项目明确（0-6分）；</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5.其他疗休养创新理念（0-2分）。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21分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85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528" w:type="dxa"/>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交通工具：根据交通车辆档次、年份、功能等情况综合评分（0-6分）。</w:t>
            </w:r>
          </w:p>
        </w:tc>
        <w:tc>
          <w:tcPr>
            <w:tcW w:w="851" w:type="dxa"/>
            <w:vMerge w:val="restart"/>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85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528" w:type="dxa"/>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伙食安排：根据提供的菜品及数量综合评分（0-6分）。</w:t>
            </w:r>
          </w:p>
        </w:tc>
        <w:tc>
          <w:tcPr>
            <w:tcW w:w="85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85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5528" w:type="dxa"/>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住宿安排：评委根据投标方案综合评分（0-6分）。</w:t>
            </w:r>
          </w:p>
        </w:tc>
        <w:tc>
          <w:tcPr>
            <w:tcW w:w="85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不进</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购物点承诺</w:t>
            </w:r>
          </w:p>
        </w:tc>
        <w:tc>
          <w:tcPr>
            <w:tcW w:w="5528" w:type="dxa"/>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承诺不进购物点得1分，无承诺不得分。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801" w:type="dxa"/>
            <w:vMerge w:val="continue"/>
            <w:tcBorders>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其他</w:t>
            </w:r>
          </w:p>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延伸服务</w:t>
            </w:r>
          </w:p>
        </w:tc>
        <w:tc>
          <w:tcPr>
            <w:tcW w:w="5528" w:type="dxa"/>
            <w:tcBorders>
              <w:top w:val="single" w:color="auto" w:sz="4" w:space="0"/>
              <w:left w:val="single" w:color="auto" w:sz="4" w:space="0"/>
              <w:right w:val="single" w:color="auto" w:sz="4" w:space="0"/>
            </w:tcBorders>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根据投标人除项目要求外其它延伸优惠及服务措施综合评分（0-6分）。</w:t>
            </w:r>
          </w:p>
        </w:tc>
        <w:tc>
          <w:tcPr>
            <w:tcW w:w="851" w:type="dxa"/>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6分</w:t>
            </w:r>
          </w:p>
        </w:tc>
      </w:tr>
    </w:tbl>
    <w:p>
      <w:pPr>
        <w:autoSpaceDE w:val="0"/>
        <w:autoSpaceDN w:val="0"/>
        <w:adjustRightInd w:val="0"/>
        <w:spacing w:line="360" w:lineRule="auto"/>
        <w:rPr>
          <w:rFonts w:ascii="宋体" w:hAnsi="宋体"/>
          <w:b/>
          <w:sz w:val="24"/>
        </w:rPr>
      </w:pP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四、开标程序</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1.工作人员宣布投标截止时间，截止时间以国家授时中心标准时间为准，宣布招标会议开始。</w:t>
      </w:r>
    </w:p>
    <w:p>
      <w:pPr>
        <w:spacing w:line="360" w:lineRule="auto"/>
        <w:ind w:firstLine="480" w:firstLineChars="200"/>
        <w:rPr>
          <w:rFonts w:ascii="宋体" w:hAnsi="宋体" w:cs="仿宋_GB2312"/>
          <w:sz w:val="24"/>
        </w:rPr>
      </w:pPr>
      <w:r>
        <w:rPr>
          <w:rFonts w:hint="eastAsia" w:ascii="宋体" w:hAnsi="宋体" w:cs="仿宋_GB2312"/>
          <w:sz w:val="24"/>
        </w:rPr>
        <w:t>2.电子投标开标及评审程序</w:t>
      </w:r>
    </w:p>
    <w:p>
      <w:pPr>
        <w:spacing w:line="360" w:lineRule="auto"/>
        <w:ind w:firstLine="480" w:firstLineChars="200"/>
        <w:rPr>
          <w:rFonts w:ascii="宋体" w:hAnsi="宋体" w:cs="仿宋_GB2312"/>
          <w:sz w:val="24"/>
        </w:rPr>
      </w:pPr>
      <w:r>
        <w:rPr>
          <w:rFonts w:hint="eastAsia" w:ascii="宋体" w:hAnsi="宋体" w:cs="仿宋_GB2312"/>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sz w:val="24"/>
        </w:rPr>
      </w:pPr>
      <w:r>
        <w:rPr>
          <w:rFonts w:hint="eastAsia" w:ascii="宋体" w:hAnsi="宋体" w:cs="仿宋_GB2312"/>
          <w:sz w:val="24"/>
        </w:rPr>
        <w:t>（2）由采购人代表对资格审查文件进行评审，评标委员会对技术商务文件进行评审；</w:t>
      </w:r>
    </w:p>
    <w:p>
      <w:pPr>
        <w:spacing w:line="360" w:lineRule="auto"/>
        <w:ind w:firstLine="480" w:firstLineChars="200"/>
        <w:rPr>
          <w:rFonts w:ascii="宋体" w:hAnsi="宋体" w:cs="仿宋_GB2312"/>
          <w:sz w:val="24"/>
        </w:rPr>
      </w:pPr>
      <w:r>
        <w:rPr>
          <w:rFonts w:hint="eastAsia" w:ascii="宋体" w:hAnsi="宋体" w:cs="仿宋_GB2312"/>
          <w:sz w:val="24"/>
        </w:rPr>
        <w:t>（3）在系统上公开资格审查和技术商务评审结果（系统会下发技术商务分数）；</w:t>
      </w:r>
    </w:p>
    <w:p>
      <w:pPr>
        <w:spacing w:line="360" w:lineRule="auto"/>
        <w:ind w:firstLine="480" w:firstLineChars="200"/>
        <w:rPr>
          <w:rFonts w:ascii="宋体" w:hAnsi="宋体" w:cs="仿宋_GB2312"/>
          <w:sz w:val="24"/>
        </w:rPr>
      </w:pPr>
      <w:r>
        <w:rPr>
          <w:rFonts w:hint="eastAsia" w:ascii="宋体" w:hAnsi="宋体" w:cs="仿宋_GB2312"/>
          <w:sz w:val="24"/>
        </w:rPr>
        <w:t>（4）在系统上公开报价开标情况（报价文件开启后投标人在线对投标报价用数字CA进行数字签字确认），按政采云操作规程执行。</w:t>
      </w:r>
    </w:p>
    <w:p>
      <w:pPr>
        <w:spacing w:line="360" w:lineRule="auto"/>
        <w:ind w:firstLine="480" w:firstLineChars="200"/>
        <w:rPr>
          <w:rFonts w:ascii="宋体" w:hAnsi="宋体" w:cs="仿宋_GB2312"/>
          <w:sz w:val="24"/>
        </w:rPr>
      </w:pPr>
      <w:r>
        <w:rPr>
          <w:rFonts w:hint="eastAsia" w:ascii="宋体" w:hAnsi="宋体" w:cs="仿宋_GB2312"/>
          <w:sz w:val="24"/>
        </w:rPr>
        <w:t>（5）评标委员会对报价情况进行评审，按政采云操作规程执行。</w:t>
      </w:r>
    </w:p>
    <w:p>
      <w:pPr>
        <w:spacing w:line="360" w:lineRule="auto"/>
        <w:ind w:firstLine="480" w:firstLineChars="200"/>
        <w:rPr>
          <w:rFonts w:ascii="宋体" w:hAnsi="宋体" w:cs="仿宋_GB2312"/>
          <w:sz w:val="24"/>
        </w:rPr>
      </w:pPr>
      <w:r>
        <w:rPr>
          <w:rFonts w:hint="eastAsia" w:ascii="宋体" w:hAnsi="宋体" w:cs="仿宋_GB2312"/>
          <w:sz w:val="24"/>
        </w:rPr>
        <w:t>（6）在系统上公布评审结果。</w:t>
      </w:r>
    </w:p>
    <w:p>
      <w:pPr>
        <w:spacing w:line="360" w:lineRule="auto"/>
        <w:ind w:firstLine="480" w:firstLineChars="200"/>
        <w:rPr>
          <w:rFonts w:ascii="宋体" w:hAnsi="宋体" w:cs="仿宋_GB2312"/>
          <w:sz w:val="24"/>
        </w:rPr>
      </w:pPr>
      <w:r>
        <w:rPr>
          <w:rFonts w:hint="eastAsia" w:ascii="宋体" w:hAnsi="宋体" w:cs="仿宋_GB2312"/>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pStyle w:val="2"/>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hint="default" w:ascii="宋体" w:hAnsi="宋体" w:eastAsia="宋体"/>
          <w:b/>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31</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项目名称：</w:t>
      </w:r>
      <w:r>
        <w:rPr>
          <w:rFonts w:hint="eastAsia" w:ascii="宋体" w:hAnsi="宋体"/>
          <w:b/>
          <w:bCs w:val="0"/>
          <w:color w:val="000000"/>
          <w:sz w:val="28"/>
          <w:szCs w:val="28"/>
        </w:rPr>
        <w:t>衢州学院教职工</w:t>
      </w:r>
      <w:r>
        <w:rPr>
          <w:rFonts w:hint="eastAsia" w:ascii="宋体" w:hAnsi="宋体"/>
          <w:b/>
          <w:bCs w:val="0"/>
          <w:color w:val="000000"/>
          <w:sz w:val="28"/>
          <w:szCs w:val="28"/>
          <w:lang w:eastAsia="zh-CN"/>
        </w:rPr>
        <w:t>省外</w:t>
      </w:r>
      <w:r>
        <w:rPr>
          <w:rFonts w:hint="eastAsia" w:ascii="宋体" w:hAnsi="宋体"/>
          <w:b/>
          <w:bCs w:val="0"/>
          <w:color w:val="000000"/>
          <w:sz w:val="28"/>
          <w:szCs w:val="28"/>
        </w:rPr>
        <w:t>疗休养定点服务</w:t>
      </w:r>
      <w:r>
        <w:rPr>
          <w:rFonts w:hint="eastAsia" w:ascii="宋体" w:hAnsi="宋体"/>
          <w:b/>
          <w:bCs w:val="0"/>
          <w:color w:val="000000"/>
          <w:sz w:val="28"/>
          <w:szCs w:val="28"/>
          <w:lang w:eastAsia="zh-CN"/>
        </w:rPr>
        <w:t>采购</w:t>
      </w:r>
      <w:r>
        <w:rPr>
          <w:rFonts w:hint="eastAsia" w:ascii="宋体" w:hAnsi="宋体"/>
          <w:b/>
          <w:bCs w:val="0"/>
          <w:color w:val="000000"/>
          <w:sz w:val="28"/>
          <w:szCs w:val="28"/>
        </w:rPr>
        <w:t>项目</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p>
    <w:p>
      <w:pPr>
        <w:autoSpaceDE w:val="0"/>
        <w:autoSpaceDN w:val="0"/>
        <w:adjustRightInd w:val="0"/>
        <w:spacing w:line="440" w:lineRule="exact"/>
        <w:rPr>
          <w:rFonts w:ascii="宋体" w:hAnsi="宋体"/>
          <w:b/>
          <w:color w:val="000000"/>
          <w:sz w:val="28"/>
          <w:szCs w:val="28"/>
        </w:rPr>
      </w:pP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bCs w:val="0"/>
          <w:color w:val="000000"/>
          <w:sz w:val="28"/>
          <w:szCs w:val="28"/>
          <w:u w:val="single"/>
        </w:rPr>
        <w:t>衢州学院教职工</w:t>
      </w:r>
      <w:r>
        <w:rPr>
          <w:rFonts w:hint="eastAsia" w:ascii="宋体" w:hAnsi="宋体"/>
          <w:b/>
          <w:bCs w:val="0"/>
          <w:color w:val="000000"/>
          <w:sz w:val="28"/>
          <w:szCs w:val="28"/>
          <w:u w:val="single"/>
          <w:lang w:eastAsia="zh-CN"/>
        </w:rPr>
        <w:t>省外</w:t>
      </w:r>
      <w:r>
        <w:rPr>
          <w:rFonts w:hint="eastAsia" w:ascii="宋体" w:hAnsi="宋体"/>
          <w:b/>
          <w:bCs w:val="0"/>
          <w:color w:val="000000"/>
          <w:sz w:val="28"/>
          <w:szCs w:val="28"/>
          <w:u w:val="single"/>
        </w:rPr>
        <w:t>疗休养定点服务</w:t>
      </w:r>
      <w:r>
        <w:rPr>
          <w:rFonts w:hint="eastAsia" w:ascii="宋体" w:hAnsi="宋体"/>
          <w:b/>
          <w:bCs w:val="0"/>
          <w:color w:val="000000"/>
          <w:sz w:val="28"/>
          <w:szCs w:val="28"/>
          <w:u w:val="single"/>
          <w:lang w:eastAsia="zh-CN"/>
        </w:rPr>
        <w:t>采购</w:t>
      </w:r>
      <w:r>
        <w:rPr>
          <w:rFonts w:hint="eastAsia" w:ascii="宋体" w:hAnsi="宋体"/>
          <w:b/>
          <w:bCs w:val="0"/>
          <w:color w:val="000000"/>
          <w:sz w:val="28"/>
          <w:szCs w:val="28"/>
          <w:u w:val="single"/>
        </w:rPr>
        <w:t>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lang w:val="en-US" w:eastAsia="zh-CN"/>
        </w:rPr>
        <w:t>31</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val="0"/>
          <w:color w:val="000000"/>
          <w:sz w:val="28"/>
          <w:szCs w:val="28"/>
          <w:u w:val="single"/>
        </w:rPr>
        <w:t>衢州学院教职工</w:t>
      </w:r>
      <w:r>
        <w:rPr>
          <w:rFonts w:hint="eastAsia" w:ascii="宋体" w:hAnsi="宋体"/>
          <w:b/>
          <w:bCs w:val="0"/>
          <w:color w:val="000000"/>
          <w:sz w:val="28"/>
          <w:szCs w:val="28"/>
          <w:u w:val="single"/>
          <w:lang w:eastAsia="zh-CN"/>
        </w:rPr>
        <w:t>省外</w:t>
      </w:r>
      <w:r>
        <w:rPr>
          <w:rFonts w:hint="eastAsia" w:ascii="宋体" w:hAnsi="宋体"/>
          <w:b/>
          <w:bCs w:val="0"/>
          <w:color w:val="000000"/>
          <w:sz w:val="28"/>
          <w:szCs w:val="28"/>
          <w:u w:val="single"/>
        </w:rPr>
        <w:t>疗休养定点服务</w:t>
      </w:r>
      <w:r>
        <w:rPr>
          <w:rFonts w:hint="eastAsia" w:ascii="宋体" w:hAnsi="宋体"/>
          <w:b/>
          <w:bCs w:val="0"/>
          <w:color w:val="000000"/>
          <w:sz w:val="28"/>
          <w:szCs w:val="28"/>
          <w:u w:val="single"/>
          <w:lang w:eastAsia="zh-CN"/>
        </w:rPr>
        <w:t>采购</w:t>
      </w:r>
      <w:r>
        <w:rPr>
          <w:rFonts w:hint="eastAsia" w:ascii="宋体" w:hAnsi="宋体"/>
          <w:b/>
          <w:bCs w:val="0"/>
          <w:color w:val="000000"/>
          <w:sz w:val="28"/>
          <w:szCs w:val="28"/>
          <w:u w:val="single"/>
        </w:rPr>
        <w:t>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lang w:val="en-US" w:eastAsia="zh-CN"/>
        </w:rPr>
        <w:t>31</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hint="eastAsia" w:ascii="宋体" w:hAnsi="宋体"/>
          <w:b/>
          <w:color w:val="000000"/>
          <w:sz w:val="28"/>
          <w:szCs w:val="28"/>
        </w:rPr>
      </w:pPr>
    </w:p>
    <w:p>
      <w:pPr>
        <w:autoSpaceDE w:val="0"/>
        <w:autoSpaceDN w:val="0"/>
        <w:adjustRightInd w:val="0"/>
        <w:spacing w:line="360" w:lineRule="auto"/>
        <w:rPr>
          <w:rFonts w:hint="eastAsia"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服务承诺</w:t>
      </w:r>
    </w:p>
    <w:p>
      <w:pPr>
        <w:autoSpaceDE w:val="0"/>
        <w:autoSpaceDN w:val="0"/>
        <w:adjustRightInd w:val="0"/>
        <w:rPr>
          <w:rFonts w:hint="default" w:ascii="宋体" w:hAnsi="宋体" w:eastAsia="宋体"/>
          <w:b/>
          <w:bCs/>
          <w:color w:val="000000"/>
          <w:sz w:val="28"/>
          <w:szCs w:val="28"/>
          <w:lang w:val="en-US" w:eastAsia="zh-CN"/>
        </w:rPr>
      </w:pPr>
      <w:r>
        <w:rPr>
          <w:rFonts w:hint="eastAsia" w:ascii="宋体" w:hAnsi="宋体"/>
          <w:b/>
          <w:bCs/>
          <w:color w:val="000000"/>
          <w:sz w:val="28"/>
          <w:szCs w:val="28"/>
          <w:lang w:val="zh-CN"/>
        </w:rPr>
        <w:t>项目编号：衢院招2021-</w:t>
      </w:r>
      <w:r>
        <w:rPr>
          <w:rFonts w:hint="eastAsia" w:ascii="宋体" w:hAnsi="宋体"/>
          <w:b/>
          <w:bCs/>
          <w:color w:val="000000"/>
          <w:sz w:val="28"/>
          <w:szCs w:val="28"/>
          <w:lang w:val="en-US" w:eastAsia="zh-CN"/>
        </w:rPr>
        <w:t>31</w:t>
      </w:r>
    </w:p>
    <w:p>
      <w:pPr>
        <w:autoSpaceDE w:val="0"/>
        <w:autoSpaceDN w:val="0"/>
        <w:adjustRightInd w:val="0"/>
        <w:rPr>
          <w:rFonts w:ascii="宋体" w:hAnsi="宋体"/>
          <w:b/>
          <w:bCs/>
          <w:color w:val="000000"/>
          <w:sz w:val="28"/>
          <w:szCs w:val="28"/>
          <w:lang w:val="zh-CN"/>
        </w:rPr>
      </w:pPr>
      <w:r>
        <w:rPr>
          <w:rFonts w:hint="eastAsia" w:ascii="宋体" w:hAnsi="宋体"/>
          <w:b/>
          <w:bCs/>
          <w:color w:val="000000"/>
          <w:sz w:val="28"/>
          <w:szCs w:val="28"/>
          <w:lang w:val="zh-CN"/>
        </w:rPr>
        <w:t>项目名称：</w:t>
      </w:r>
      <w:r>
        <w:rPr>
          <w:rFonts w:hint="eastAsia" w:ascii="宋体" w:hAnsi="宋体"/>
          <w:b/>
          <w:bCs w:val="0"/>
          <w:color w:val="000000"/>
          <w:sz w:val="28"/>
          <w:szCs w:val="28"/>
        </w:rPr>
        <w:t>衢州学院教职工</w:t>
      </w:r>
      <w:r>
        <w:rPr>
          <w:rFonts w:hint="eastAsia" w:ascii="宋体" w:hAnsi="宋体"/>
          <w:b/>
          <w:bCs w:val="0"/>
          <w:color w:val="000000"/>
          <w:sz w:val="28"/>
          <w:szCs w:val="28"/>
          <w:lang w:eastAsia="zh-CN"/>
        </w:rPr>
        <w:t>省外</w:t>
      </w:r>
      <w:r>
        <w:rPr>
          <w:rFonts w:hint="eastAsia" w:ascii="宋体" w:hAnsi="宋体"/>
          <w:b/>
          <w:bCs w:val="0"/>
          <w:color w:val="000000"/>
          <w:sz w:val="28"/>
          <w:szCs w:val="28"/>
        </w:rPr>
        <w:t>疗休养定点服务</w:t>
      </w:r>
      <w:r>
        <w:rPr>
          <w:rFonts w:hint="eastAsia" w:ascii="宋体" w:hAnsi="宋体"/>
          <w:b/>
          <w:bCs w:val="0"/>
          <w:color w:val="000000"/>
          <w:sz w:val="28"/>
          <w:szCs w:val="28"/>
          <w:lang w:eastAsia="zh-CN"/>
        </w:rPr>
        <w:t>采购</w:t>
      </w:r>
      <w:r>
        <w:rPr>
          <w:rFonts w:hint="eastAsia" w:ascii="宋体" w:hAnsi="宋体"/>
          <w:b/>
          <w:bCs w:val="0"/>
          <w:color w:val="000000"/>
          <w:sz w:val="28"/>
          <w:szCs w:val="28"/>
        </w:rPr>
        <w:t>项目</w:t>
      </w:r>
    </w:p>
    <w:p>
      <w:pPr>
        <w:spacing w:line="520" w:lineRule="exact"/>
        <w:rPr>
          <w:rFonts w:ascii="宋体" w:hAnsi="宋体" w:cs="宋体"/>
          <w:color w:val="000000"/>
          <w:kern w:val="0"/>
          <w:sz w:val="18"/>
          <w:szCs w:val="18"/>
        </w:rPr>
      </w:pPr>
      <w:r>
        <w:rPr>
          <w:rFonts w:hint="eastAsia" w:ascii="宋体" w:hAnsi="宋体"/>
          <w:b/>
          <w:color w:val="000000"/>
          <w:sz w:val="28"/>
          <w:szCs w:val="28"/>
        </w:rPr>
        <w:t xml:space="preserve">       </w:t>
      </w:r>
      <w:r>
        <w:rPr>
          <w:rFonts w:hint="eastAsia" w:ascii="宋体" w:hAnsi="宋体" w:cs="宋体"/>
          <w:color w:val="000000"/>
          <w:kern w:val="0"/>
          <w:sz w:val="18"/>
          <w:szCs w:val="18"/>
        </w:rPr>
        <w:t xml:space="preserve">  </w:t>
      </w:r>
      <w:r>
        <w:rPr>
          <w:rFonts w:hint="eastAsia" w:ascii="宋体" w:hAnsi="宋体"/>
          <w:b/>
          <w:color w:val="000000"/>
          <w:sz w:val="28"/>
          <w:szCs w:val="28"/>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753"/>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36" w:type="dxa"/>
            <w:vAlign w:val="center"/>
          </w:tcPr>
          <w:p>
            <w:pPr>
              <w:spacing w:line="320" w:lineRule="exact"/>
              <w:jc w:val="center"/>
              <w:rPr>
                <w:rFonts w:ascii="宋体" w:hAnsi="宋体"/>
                <w:bCs/>
                <w:color w:val="000000"/>
                <w:sz w:val="24"/>
              </w:rPr>
            </w:pPr>
            <w:r>
              <w:rPr>
                <w:rFonts w:hint="eastAsia" w:ascii="宋体" w:hAnsi="宋体"/>
                <w:bCs/>
                <w:color w:val="000000"/>
                <w:sz w:val="24"/>
              </w:rPr>
              <w:t>序号</w:t>
            </w:r>
          </w:p>
        </w:tc>
        <w:tc>
          <w:tcPr>
            <w:tcW w:w="1753" w:type="dxa"/>
            <w:vAlign w:val="center"/>
          </w:tcPr>
          <w:p>
            <w:pPr>
              <w:spacing w:line="320" w:lineRule="exact"/>
              <w:jc w:val="center"/>
              <w:rPr>
                <w:rFonts w:ascii="宋体" w:hAnsi="宋体"/>
                <w:bCs/>
                <w:color w:val="000000"/>
                <w:sz w:val="24"/>
              </w:rPr>
            </w:pPr>
            <w:r>
              <w:rPr>
                <w:rFonts w:hint="eastAsia" w:ascii="宋体" w:hAnsi="宋体"/>
                <w:bCs/>
                <w:color w:val="000000"/>
                <w:sz w:val="24"/>
              </w:rPr>
              <w:t>内容</w:t>
            </w:r>
          </w:p>
        </w:tc>
        <w:tc>
          <w:tcPr>
            <w:tcW w:w="4472" w:type="dxa"/>
            <w:vAlign w:val="center"/>
          </w:tcPr>
          <w:p>
            <w:pPr>
              <w:spacing w:line="320" w:lineRule="exact"/>
              <w:jc w:val="center"/>
              <w:rPr>
                <w:rFonts w:ascii="宋体" w:hAnsi="宋体"/>
                <w:bCs/>
                <w:color w:val="000000"/>
                <w:sz w:val="24"/>
              </w:rPr>
            </w:pPr>
            <w:r>
              <w:rPr>
                <w:rFonts w:hint="eastAsia" w:ascii="宋体" w:hAnsi="宋体"/>
                <w:bCs/>
                <w:color w:val="000000"/>
                <w:sz w:val="24"/>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6" w:type="dxa"/>
            <w:vAlign w:val="center"/>
          </w:tcPr>
          <w:p>
            <w:pPr>
              <w:spacing w:line="320" w:lineRule="exact"/>
              <w:jc w:val="center"/>
              <w:rPr>
                <w:rFonts w:ascii="宋体" w:hAnsi="宋体"/>
                <w:bCs/>
                <w:color w:val="000000"/>
                <w:sz w:val="24"/>
              </w:rPr>
            </w:pPr>
            <w:r>
              <w:rPr>
                <w:rFonts w:hint="eastAsia" w:ascii="宋体" w:hAnsi="宋体"/>
                <w:bCs/>
                <w:color w:val="000000"/>
                <w:sz w:val="24"/>
              </w:rPr>
              <w:t>1</w:t>
            </w:r>
          </w:p>
        </w:tc>
        <w:tc>
          <w:tcPr>
            <w:tcW w:w="1753" w:type="dxa"/>
            <w:vAlign w:val="center"/>
          </w:tcPr>
          <w:p>
            <w:pPr>
              <w:spacing w:line="320" w:lineRule="exact"/>
              <w:jc w:val="center"/>
              <w:rPr>
                <w:rFonts w:ascii="宋体" w:hAnsi="宋体"/>
                <w:bCs/>
                <w:color w:val="000000"/>
                <w:sz w:val="24"/>
              </w:rPr>
            </w:pPr>
            <w:r>
              <w:rPr>
                <w:rFonts w:hint="eastAsia" w:ascii="宋体" w:hAnsi="宋体"/>
                <w:bCs/>
                <w:color w:val="000000"/>
                <w:sz w:val="24"/>
              </w:rPr>
              <w:t>交通</w:t>
            </w:r>
          </w:p>
        </w:tc>
        <w:tc>
          <w:tcPr>
            <w:tcW w:w="4472" w:type="dxa"/>
            <w:vAlign w:val="center"/>
          </w:tcPr>
          <w:p>
            <w:pPr>
              <w:spacing w:line="32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6" w:type="dxa"/>
            <w:vAlign w:val="center"/>
          </w:tcPr>
          <w:p>
            <w:pPr>
              <w:spacing w:line="320" w:lineRule="exact"/>
              <w:jc w:val="center"/>
              <w:rPr>
                <w:rFonts w:ascii="宋体" w:hAnsi="宋体"/>
                <w:bCs/>
                <w:color w:val="000000"/>
                <w:sz w:val="24"/>
              </w:rPr>
            </w:pPr>
            <w:r>
              <w:rPr>
                <w:rFonts w:hint="eastAsia" w:ascii="宋体" w:hAnsi="宋体"/>
                <w:bCs/>
                <w:color w:val="000000"/>
                <w:sz w:val="24"/>
              </w:rPr>
              <w:t>2</w:t>
            </w:r>
          </w:p>
        </w:tc>
        <w:tc>
          <w:tcPr>
            <w:tcW w:w="1753" w:type="dxa"/>
            <w:vAlign w:val="center"/>
          </w:tcPr>
          <w:p>
            <w:pPr>
              <w:spacing w:line="320" w:lineRule="exact"/>
              <w:jc w:val="center"/>
              <w:rPr>
                <w:rFonts w:ascii="宋体" w:hAnsi="宋体"/>
                <w:bCs/>
                <w:color w:val="000000"/>
                <w:sz w:val="24"/>
              </w:rPr>
            </w:pPr>
            <w:r>
              <w:rPr>
                <w:rFonts w:hint="eastAsia" w:ascii="宋体" w:hAnsi="宋体"/>
                <w:bCs/>
                <w:color w:val="000000"/>
                <w:sz w:val="24"/>
              </w:rPr>
              <w:t>住宿</w:t>
            </w:r>
          </w:p>
        </w:tc>
        <w:tc>
          <w:tcPr>
            <w:tcW w:w="4472" w:type="dxa"/>
            <w:vAlign w:val="center"/>
          </w:tcPr>
          <w:p>
            <w:pPr>
              <w:spacing w:line="32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6" w:type="dxa"/>
            <w:vAlign w:val="center"/>
          </w:tcPr>
          <w:p>
            <w:pPr>
              <w:spacing w:line="320" w:lineRule="exact"/>
              <w:jc w:val="center"/>
              <w:rPr>
                <w:rFonts w:ascii="宋体" w:hAnsi="宋体"/>
                <w:bCs/>
                <w:color w:val="000000"/>
                <w:sz w:val="24"/>
              </w:rPr>
            </w:pPr>
            <w:r>
              <w:rPr>
                <w:rFonts w:hint="eastAsia" w:ascii="宋体" w:hAnsi="宋体"/>
                <w:bCs/>
                <w:color w:val="000000"/>
                <w:sz w:val="24"/>
              </w:rPr>
              <w:t>3</w:t>
            </w:r>
          </w:p>
        </w:tc>
        <w:tc>
          <w:tcPr>
            <w:tcW w:w="1753" w:type="dxa"/>
            <w:vAlign w:val="center"/>
          </w:tcPr>
          <w:p>
            <w:pPr>
              <w:spacing w:line="320" w:lineRule="exact"/>
              <w:jc w:val="center"/>
              <w:rPr>
                <w:rFonts w:ascii="宋体" w:hAnsi="宋体"/>
                <w:bCs/>
                <w:color w:val="000000"/>
                <w:sz w:val="24"/>
              </w:rPr>
            </w:pPr>
            <w:r>
              <w:rPr>
                <w:rFonts w:hint="eastAsia" w:ascii="宋体" w:hAnsi="宋体"/>
                <w:bCs/>
                <w:color w:val="000000"/>
                <w:sz w:val="24"/>
              </w:rPr>
              <w:t>餐饮</w:t>
            </w:r>
          </w:p>
        </w:tc>
        <w:tc>
          <w:tcPr>
            <w:tcW w:w="4472" w:type="dxa"/>
            <w:vAlign w:val="center"/>
          </w:tcPr>
          <w:p>
            <w:pPr>
              <w:spacing w:line="32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6" w:type="dxa"/>
            <w:vAlign w:val="center"/>
          </w:tcPr>
          <w:p>
            <w:pPr>
              <w:spacing w:line="320" w:lineRule="exact"/>
              <w:jc w:val="center"/>
              <w:rPr>
                <w:rFonts w:ascii="宋体" w:hAnsi="宋体"/>
                <w:bCs/>
                <w:color w:val="000000"/>
                <w:sz w:val="24"/>
              </w:rPr>
            </w:pPr>
            <w:r>
              <w:rPr>
                <w:rFonts w:hint="eastAsia" w:ascii="宋体" w:hAnsi="宋体"/>
                <w:bCs/>
                <w:color w:val="000000"/>
                <w:sz w:val="24"/>
              </w:rPr>
              <w:t>4</w:t>
            </w:r>
          </w:p>
        </w:tc>
        <w:tc>
          <w:tcPr>
            <w:tcW w:w="1753" w:type="dxa"/>
            <w:vAlign w:val="center"/>
          </w:tcPr>
          <w:p>
            <w:pPr>
              <w:spacing w:line="320" w:lineRule="exact"/>
              <w:jc w:val="center"/>
              <w:rPr>
                <w:rFonts w:ascii="宋体" w:hAnsi="宋体"/>
                <w:bCs/>
                <w:color w:val="000000"/>
                <w:sz w:val="24"/>
              </w:rPr>
            </w:pPr>
            <w:r>
              <w:rPr>
                <w:rFonts w:hint="eastAsia" w:ascii="宋体" w:hAnsi="宋体"/>
                <w:bCs/>
                <w:color w:val="000000"/>
                <w:sz w:val="24"/>
              </w:rPr>
              <w:t>保险</w:t>
            </w:r>
          </w:p>
        </w:tc>
        <w:tc>
          <w:tcPr>
            <w:tcW w:w="4472" w:type="dxa"/>
            <w:vAlign w:val="center"/>
          </w:tcPr>
          <w:p>
            <w:pPr>
              <w:spacing w:line="32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6" w:type="dxa"/>
            <w:vAlign w:val="center"/>
          </w:tcPr>
          <w:p>
            <w:pPr>
              <w:spacing w:line="320" w:lineRule="exact"/>
              <w:jc w:val="center"/>
              <w:rPr>
                <w:rFonts w:ascii="宋体" w:hAnsi="宋体"/>
                <w:bCs/>
                <w:color w:val="000000"/>
                <w:sz w:val="24"/>
              </w:rPr>
            </w:pPr>
            <w:r>
              <w:rPr>
                <w:rFonts w:hint="eastAsia" w:ascii="宋体" w:hAnsi="宋体"/>
                <w:bCs/>
                <w:color w:val="000000"/>
                <w:sz w:val="24"/>
              </w:rPr>
              <w:t>5</w:t>
            </w:r>
          </w:p>
        </w:tc>
        <w:tc>
          <w:tcPr>
            <w:tcW w:w="1753" w:type="dxa"/>
            <w:vAlign w:val="center"/>
          </w:tcPr>
          <w:p>
            <w:pPr>
              <w:spacing w:line="320" w:lineRule="exact"/>
              <w:jc w:val="center"/>
              <w:rPr>
                <w:rFonts w:ascii="宋体" w:hAnsi="宋体"/>
                <w:bCs/>
                <w:color w:val="000000"/>
                <w:sz w:val="24"/>
              </w:rPr>
            </w:pPr>
            <w:r>
              <w:rPr>
                <w:rFonts w:hint="eastAsia" w:ascii="宋体" w:hAnsi="宋体"/>
                <w:bCs/>
                <w:color w:val="000000"/>
                <w:sz w:val="24"/>
              </w:rPr>
              <w:t>不进购物点</w:t>
            </w:r>
          </w:p>
        </w:tc>
        <w:tc>
          <w:tcPr>
            <w:tcW w:w="4472" w:type="dxa"/>
            <w:vAlign w:val="center"/>
          </w:tcPr>
          <w:p>
            <w:pPr>
              <w:spacing w:line="32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6" w:type="dxa"/>
            <w:vAlign w:val="center"/>
          </w:tcPr>
          <w:p>
            <w:pPr>
              <w:spacing w:line="320" w:lineRule="exact"/>
              <w:jc w:val="center"/>
              <w:rPr>
                <w:rFonts w:ascii="宋体" w:hAnsi="宋体"/>
                <w:bCs/>
                <w:color w:val="000000"/>
                <w:sz w:val="24"/>
              </w:rPr>
            </w:pPr>
            <w:r>
              <w:rPr>
                <w:rFonts w:hint="eastAsia" w:ascii="宋体" w:hAnsi="宋体"/>
                <w:bCs/>
                <w:color w:val="000000"/>
                <w:sz w:val="24"/>
              </w:rPr>
              <w:t>6</w:t>
            </w:r>
          </w:p>
        </w:tc>
        <w:tc>
          <w:tcPr>
            <w:tcW w:w="1753" w:type="dxa"/>
            <w:vAlign w:val="center"/>
          </w:tcPr>
          <w:p>
            <w:pPr>
              <w:spacing w:line="320" w:lineRule="exact"/>
              <w:jc w:val="center"/>
              <w:rPr>
                <w:rFonts w:ascii="宋体" w:hAnsi="宋体"/>
                <w:bCs/>
                <w:color w:val="000000"/>
                <w:sz w:val="24"/>
              </w:rPr>
            </w:pPr>
            <w:r>
              <w:rPr>
                <w:rFonts w:hint="eastAsia" w:ascii="宋体" w:hAnsi="宋体"/>
                <w:bCs/>
                <w:color w:val="000000"/>
                <w:sz w:val="24"/>
              </w:rPr>
              <w:t>延伸服务</w:t>
            </w:r>
          </w:p>
        </w:tc>
        <w:tc>
          <w:tcPr>
            <w:tcW w:w="4472" w:type="dxa"/>
            <w:vAlign w:val="center"/>
          </w:tcPr>
          <w:p>
            <w:pPr>
              <w:spacing w:line="320" w:lineRule="exact"/>
              <w:rPr>
                <w:rFonts w:ascii="宋体" w:hAnsi="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36" w:type="dxa"/>
            <w:vAlign w:val="center"/>
          </w:tcPr>
          <w:p>
            <w:pPr>
              <w:spacing w:line="320" w:lineRule="exact"/>
              <w:jc w:val="center"/>
              <w:rPr>
                <w:rFonts w:ascii="宋体" w:hAnsi="宋体"/>
                <w:bCs/>
                <w:color w:val="000000"/>
                <w:sz w:val="24"/>
              </w:rPr>
            </w:pPr>
            <w:r>
              <w:rPr>
                <w:rFonts w:hint="eastAsia" w:ascii="宋体" w:hAnsi="宋体"/>
                <w:bCs/>
                <w:color w:val="000000"/>
                <w:sz w:val="24"/>
              </w:rPr>
              <w:t>7</w:t>
            </w:r>
          </w:p>
        </w:tc>
        <w:tc>
          <w:tcPr>
            <w:tcW w:w="1753" w:type="dxa"/>
            <w:vAlign w:val="center"/>
          </w:tcPr>
          <w:p>
            <w:pPr>
              <w:spacing w:line="320" w:lineRule="exact"/>
              <w:jc w:val="center"/>
              <w:rPr>
                <w:rFonts w:ascii="宋体" w:hAnsi="宋体"/>
                <w:bCs/>
                <w:color w:val="000000"/>
                <w:sz w:val="24"/>
              </w:rPr>
            </w:pPr>
            <w:r>
              <w:rPr>
                <w:rFonts w:hint="eastAsia" w:ascii="宋体" w:hAnsi="宋体"/>
                <w:bCs/>
                <w:color w:val="000000"/>
                <w:sz w:val="24"/>
              </w:rPr>
              <w:t>其他</w:t>
            </w:r>
          </w:p>
        </w:tc>
        <w:tc>
          <w:tcPr>
            <w:tcW w:w="4472" w:type="dxa"/>
            <w:vAlign w:val="center"/>
          </w:tcPr>
          <w:p>
            <w:pPr>
              <w:spacing w:line="320" w:lineRule="exact"/>
              <w:rPr>
                <w:rFonts w:ascii="宋体" w:hAnsi="宋体"/>
                <w:bCs/>
                <w:color w:val="000000"/>
                <w:sz w:val="24"/>
              </w:rPr>
            </w:pPr>
          </w:p>
        </w:tc>
      </w:tr>
    </w:tbl>
    <w:p>
      <w:pPr>
        <w:ind w:firstLine="482" w:firstLineChars="200"/>
        <w:rPr>
          <w:rFonts w:ascii="宋体" w:hAnsi="宋体"/>
          <w:b/>
          <w:color w:val="000000"/>
          <w:sz w:val="24"/>
        </w:rPr>
      </w:pPr>
    </w:p>
    <w:p>
      <w:pPr>
        <w:spacing w:line="480" w:lineRule="exact"/>
        <w:jc w:val="right"/>
        <w:rPr>
          <w:rFonts w:ascii="宋体" w:hAnsi="宋体"/>
          <w:bCs/>
          <w:color w:val="000000"/>
          <w:sz w:val="28"/>
          <w:szCs w:val="28"/>
        </w:rPr>
      </w:pPr>
    </w:p>
    <w:p>
      <w:pPr>
        <w:spacing w:line="480" w:lineRule="exact"/>
        <w:jc w:val="right"/>
        <w:rPr>
          <w:rFonts w:ascii="宋体" w:hAnsi="宋体"/>
          <w:bCs/>
          <w:color w:val="000000"/>
          <w:sz w:val="28"/>
          <w:szCs w:val="28"/>
        </w:rPr>
      </w:pPr>
    </w:p>
    <w:p>
      <w:pPr>
        <w:spacing w:line="480" w:lineRule="exact"/>
        <w:jc w:val="righ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jc w:val="right"/>
        <w:rPr>
          <w:rFonts w:ascii="宋体" w:hAnsi="宋体"/>
          <w:bCs/>
          <w:color w:val="000000"/>
          <w:sz w:val="28"/>
          <w:szCs w:val="28"/>
        </w:rPr>
      </w:pPr>
      <w:r>
        <w:rPr>
          <w:rFonts w:hint="eastAsia" w:ascii="宋体" w:hAnsi="宋体" w:cs="仿宋_GB2312"/>
          <w:color w:val="000000"/>
          <w:sz w:val="28"/>
          <w:szCs w:val="28"/>
        </w:rPr>
        <w:t>投标人全权代表签字：</w:t>
      </w:r>
    </w:p>
    <w:p>
      <w:pPr>
        <w:wordWrap w:val="0"/>
        <w:spacing w:line="480" w:lineRule="exact"/>
        <w:jc w:val="right"/>
        <w:rPr>
          <w:rFonts w:ascii="宋体" w:hAnsi="宋体"/>
          <w:bCs/>
          <w:color w:val="000000"/>
          <w:sz w:val="28"/>
          <w:szCs w:val="28"/>
        </w:rPr>
      </w:pPr>
      <w:r>
        <w:rPr>
          <w:rFonts w:hint="eastAsia" w:ascii="宋体" w:hAnsi="宋体"/>
          <w:bCs/>
          <w:color w:val="000000"/>
          <w:sz w:val="28"/>
          <w:szCs w:val="28"/>
        </w:rPr>
        <w:t xml:space="preserve">    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br w:type="page"/>
      </w:r>
      <w:r>
        <w:rPr>
          <w:rFonts w:hint="eastAsia" w:ascii="宋体" w:hAnsi="宋体"/>
          <w:b/>
          <w:color w:val="000000"/>
          <w:sz w:val="28"/>
          <w:szCs w:val="28"/>
          <w:lang w:val="zh-CN"/>
        </w:rPr>
        <w:t>格式</w:t>
      </w:r>
      <w:r>
        <w:rPr>
          <w:rFonts w:hint="eastAsia" w:ascii="宋体" w:hAnsi="宋体"/>
          <w:b/>
          <w:color w:val="000000"/>
          <w:sz w:val="28"/>
          <w:szCs w:val="28"/>
        </w:rPr>
        <w:t>五</w:t>
      </w:r>
      <w:r>
        <w:rPr>
          <w:rFonts w:hint="eastAsia" w:ascii="宋体" w:hAnsi="宋体"/>
          <w:b/>
          <w:color w:val="000000"/>
          <w:sz w:val="28"/>
          <w:szCs w:val="28"/>
          <w:lang w:val="zh-CN"/>
        </w:rPr>
        <w:t>：</w:t>
      </w:r>
    </w:p>
    <w:p>
      <w:pPr>
        <w:snapToGrid w:val="0"/>
        <w:spacing w:beforeLines="50" w:after="50" w:line="360" w:lineRule="auto"/>
        <w:jc w:val="center"/>
        <w:rPr>
          <w:rFonts w:asciiTheme="minorEastAsia" w:hAnsiTheme="minorEastAsia" w:eastAsiaTheme="minorEastAsia"/>
          <w:b/>
          <w:bCs/>
          <w:color w:val="000000"/>
          <w:kern w:val="0"/>
          <w:sz w:val="36"/>
          <w:szCs w:val="36"/>
          <w:lang w:val="zh-CN"/>
        </w:rPr>
      </w:pPr>
      <w:r>
        <w:rPr>
          <w:rFonts w:hint="eastAsia" w:asciiTheme="minorEastAsia" w:hAnsiTheme="minorEastAsia" w:eastAsiaTheme="minorEastAsia"/>
          <w:b/>
          <w:bCs/>
          <w:color w:val="000000"/>
          <w:kern w:val="0"/>
          <w:sz w:val="36"/>
          <w:szCs w:val="36"/>
          <w:lang w:val="zh-CN"/>
        </w:rPr>
        <w:t>拟投入本项目的服务团队人员表</w:t>
      </w:r>
    </w:p>
    <w:p>
      <w:pPr>
        <w:snapToGrid w:val="0"/>
        <w:spacing w:line="360" w:lineRule="auto"/>
        <w:rPr>
          <w:rFonts w:hint="default" w:asciiTheme="minorEastAsia" w:hAnsiTheme="minorEastAsia" w:eastAsiaTheme="minorEastAsia"/>
          <w:color w:val="000000"/>
          <w:spacing w:val="20"/>
          <w:sz w:val="32"/>
          <w:szCs w:val="32"/>
          <w:lang w:val="en-US" w:eastAsia="zh-CN"/>
        </w:rPr>
      </w:pPr>
      <w:r>
        <w:rPr>
          <w:rFonts w:hint="eastAsia" w:asciiTheme="minorEastAsia" w:hAnsiTheme="minorEastAsia" w:eastAsiaTheme="minorEastAsia"/>
          <w:color w:val="000000"/>
          <w:spacing w:val="20"/>
          <w:sz w:val="32"/>
          <w:szCs w:val="32"/>
        </w:rPr>
        <w:t>项目编号：</w:t>
      </w:r>
      <w:r>
        <w:rPr>
          <w:rFonts w:hint="eastAsia" w:asciiTheme="minorEastAsia" w:hAnsiTheme="minorEastAsia" w:eastAsiaTheme="minorEastAsia"/>
          <w:b/>
          <w:color w:val="000000"/>
          <w:spacing w:val="20"/>
          <w:sz w:val="32"/>
          <w:szCs w:val="32"/>
        </w:rPr>
        <w:t>衢院招2021-</w:t>
      </w:r>
      <w:r>
        <w:rPr>
          <w:rFonts w:hint="eastAsia" w:asciiTheme="minorEastAsia" w:hAnsiTheme="minorEastAsia" w:eastAsiaTheme="minorEastAsia"/>
          <w:b/>
          <w:color w:val="000000"/>
          <w:spacing w:val="20"/>
          <w:sz w:val="32"/>
          <w:szCs w:val="32"/>
          <w:lang w:val="en-US" w:eastAsia="zh-CN"/>
        </w:rPr>
        <w:t>31</w:t>
      </w:r>
    </w:p>
    <w:p>
      <w:pPr>
        <w:snapToGrid w:val="0"/>
        <w:spacing w:line="360" w:lineRule="auto"/>
        <w:rPr>
          <w:rFonts w:asciiTheme="minorEastAsia" w:hAnsiTheme="minorEastAsia" w:eastAsiaTheme="minorEastAsia"/>
          <w:color w:val="000000"/>
          <w:spacing w:val="20"/>
          <w:sz w:val="32"/>
          <w:szCs w:val="32"/>
        </w:rPr>
      </w:pPr>
      <w:r>
        <w:rPr>
          <w:rFonts w:hint="eastAsia" w:asciiTheme="minorEastAsia" w:hAnsiTheme="minorEastAsia" w:eastAsiaTheme="minorEastAsia"/>
          <w:color w:val="000000"/>
          <w:spacing w:val="20"/>
          <w:sz w:val="32"/>
          <w:szCs w:val="32"/>
        </w:rPr>
        <w:t>项目名称:</w:t>
      </w:r>
      <w:r>
        <w:rPr>
          <w:rFonts w:hint="eastAsia" w:asciiTheme="minorEastAsia" w:hAnsiTheme="minorEastAsia" w:eastAsiaTheme="minorEastAsia"/>
          <w:color w:val="000000"/>
          <w:spacing w:val="20"/>
          <w:sz w:val="32"/>
          <w:szCs w:val="32"/>
          <w:lang w:val="en-US" w:eastAsia="zh-CN"/>
        </w:rPr>
        <w:t xml:space="preserve"> </w:t>
      </w:r>
      <w:r>
        <w:rPr>
          <w:rFonts w:hint="eastAsia" w:ascii="宋体" w:hAnsi="宋体"/>
          <w:b/>
          <w:bCs w:val="0"/>
          <w:color w:val="000000"/>
          <w:sz w:val="28"/>
          <w:szCs w:val="28"/>
        </w:rPr>
        <w:t>衢州学院教职工</w:t>
      </w:r>
      <w:r>
        <w:rPr>
          <w:rFonts w:hint="eastAsia" w:ascii="宋体" w:hAnsi="宋体"/>
          <w:b/>
          <w:bCs w:val="0"/>
          <w:color w:val="000000"/>
          <w:sz w:val="28"/>
          <w:szCs w:val="28"/>
          <w:lang w:eastAsia="zh-CN"/>
        </w:rPr>
        <w:t>省外</w:t>
      </w:r>
      <w:r>
        <w:rPr>
          <w:rFonts w:hint="eastAsia" w:ascii="宋体" w:hAnsi="宋体"/>
          <w:b/>
          <w:bCs w:val="0"/>
          <w:color w:val="000000"/>
          <w:sz w:val="28"/>
          <w:szCs w:val="28"/>
        </w:rPr>
        <w:t>疗休养定点服务</w:t>
      </w:r>
      <w:r>
        <w:rPr>
          <w:rFonts w:hint="eastAsia" w:ascii="宋体" w:hAnsi="宋体"/>
          <w:b/>
          <w:bCs w:val="0"/>
          <w:color w:val="000000"/>
          <w:sz w:val="28"/>
          <w:szCs w:val="28"/>
          <w:lang w:eastAsia="zh-CN"/>
        </w:rPr>
        <w:t>采购</w:t>
      </w:r>
      <w:r>
        <w:rPr>
          <w:rFonts w:hint="eastAsia" w:ascii="宋体" w:hAnsi="宋体"/>
          <w:b/>
          <w:bCs w:val="0"/>
          <w:color w:val="000000"/>
          <w:sz w:val="28"/>
          <w:szCs w:val="28"/>
        </w:rPr>
        <w:t>项目</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17"/>
        <w:gridCol w:w="1701"/>
        <w:gridCol w:w="1418"/>
        <w:gridCol w:w="1134"/>
        <w:gridCol w:w="2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63" w:type="dxa"/>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序号</w:t>
            </w:r>
          </w:p>
        </w:tc>
        <w:tc>
          <w:tcPr>
            <w:tcW w:w="1417" w:type="dxa"/>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姓  名</w:t>
            </w:r>
          </w:p>
        </w:tc>
        <w:tc>
          <w:tcPr>
            <w:tcW w:w="1701" w:type="dxa"/>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职  务</w:t>
            </w:r>
          </w:p>
        </w:tc>
        <w:tc>
          <w:tcPr>
            <w:tcW w:w="1418" w:type="dxa"/>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职称</w:t>
            </w:r>
          </w:p>
        </w:tc>
        <w:tc>
          <w:tcPr>
            <w:tcW w:w="1134" w:type="dxa"/>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专业</w:t>
            </w:r>
          </w:p>
        </w:tc>
        <w:tc>
          <w:tcPr>
            <w:tcW w:w="2647" w:type="dxa"/>
            <w:vAlign w:val="center"/>
          </w:tcPr>
          <w:p>
            <w:pPr>
              <w:spacing w:line="360" w:lineRule="auto"/>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主要资历、经验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000000"/>
                <w:sz w:val="24"/>
              </w:rPr>
            </w:pPr>
          </w:p>
        </w:tc>
        <w:tc>
          <w:tcPr>
            <w:tcW w:w="1417" w:type="dxa"/>
            <w:vAlign w:val="center"/>
          </w:tcPr>
          <w:p>
            <w:pPr>
              <w:spacing w:line="360" w:lineRule="auto"/>
              <w:jc w:val="center"/>
              <w:rPr>
                <w:rFonts w:ascii="仿宋_GB2312" w:eastAsia="仿宋_GB2312"/>
                <w:color w:val="000000"/>
                <w:sz w:val="24"/>
              </w:rPr>
            </w:pPr>
          </w:p>
        </w:tc>
        <w:tc>
          <w:tcPr>
            <w:tcW w:w="1701" w:type="dxa"/>
            <w:vAlign w:val="center"/>
          </w:tcPr>
          <w:p>
            <w:pPr>
              <w:spacing w:line="360" w:lineRule="auto"/>
              <w:jc w:val="center"/>
              <w:rPr>
                <w:rFonts w:ascii="仿宋_GB2312" w:eastAsia="仿宋_GB2312"/>
                <w:color w:val="000000"/>
                <w:sz w:val="24"/>
              </w:rPr>
            </w:pPr>
          </w:p>
        </w:tc>
        <w:tc>
          <w:tcPr>
            <w:tcW w:w="1418" w:type="dxa"/>
            <w:vAlign w:val="center"/>
          </w:tcPr>
          <w:p>
            <w:pPr>
              <w:spacing w:line="360" w:lineRule="auto"/>
              <w:jc w:val="center"/>
              <w:rPr>
                <w:rFonts w:ascii="仿宋_GB2312" w:eastAsia="仿宋_GB2312"/>
                <w:color w:val="000000"/>
                <w:sz w:val="24"/>
              </w:rPr>
            </w:pPr>
          </w:p>
        </w:tc>
        <w:tc>
          <w:tcPr>
            <w:tcW w:w="1134" w:type="dxa"/>
            <w:vAlign w:val="center"/>
          </w:tcPr>
          <w:p>
            <w:pPr>
              <w:spacing w:line="360" w:lineRule="auto"/>
              <w:jc w:val="center"/>
              <w:rPr>
                <w:rFonts w:ascii="仿宋_GB2312" w:eastAsia="仿宋_GB2312"/>
                <w:color w:val="000000"/>
                <w:sz w:val="24"/>
              </w:rPr>
            </w:pPr>
          </w:p>
        </w:tc>
        <w:tc>
          <w:tcPr>
            <w:tcW w:w="2647" w:type="dxa"/>
            <w:vAlign w:val="center"/>
          </w:tcPr>
          <w:p>
            <w:pPr>
              <w:spacing w:line="360" w:lineRule="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000000"/>
                <w:sz w:val="24"/>
              </w:rPr>
            </w:pPr>
          </w:p>
        </w:tc>
        <w:tc>
          <w:tcPr>
            <w:tcW w:w="1417" w:type="dxa"/>
            <w:vAlign w:val="center"/>
          </w:tcPr>
          <w:p>
            <w:pPr>
              <w:spacing w:line="360" w:lineRule="auto"/>
              <w:jc w:val="center"/>
              <w:rPr>
                <w:rFonts w:ascii="仿宋_GB2312" w:eastAsia="仿宋_GB2312"/>
                <w:color w:val="000000"/>
                <w:sz w:val="24"/>
              </w:rPr>
            </w:pPr>
          </w:p>
        </w:tc>
        <w:tc>
          <w:tcPr>
            <w:tcW w:w="1701" w:type="dxa"/>
            <w:vAlign w:val="center"/>
          </w:tcPr>
          <w:p>
            <w:pPr>
              <w:spacing w:line="360" w:lineRule="auto"/>
              <w:jc w:val="center"/>
              <w:rPr>
                <w:rFonts w:ascii="仿宋_GB2312" w:eastAsia="仿宋_GB2312"/>
                <w:color w:val="000000"/>
                <w:sz w:val="24"/>
              </w:rPr>
            </w:pPr>
          </w:p>
        </w:tc>
        <w:tc>
          <w:tcPr>
            <w:tcW w:w="1418" w:type="dxa"/>
            <w:vAlign w:val="center"/>
          </w:tcPr>
          <w:p>
            <w:pPr>
              <w:spacing w:line="360" w:lineRule="auto"/>
              <w:jc w:val="center"/>
              <w:rPr>
                <w:rFonts w:ascii="仿宋_GB2312" w:eastAsia="仿宋_GB2312"/>
                <w:color w:val="000000"/>
                <w:sz w:val="24"/>
              </w:rPr>
            </w:pPr>
          </w:p>
        </w:tc>
        <w:tc>
          <w:tcPr>
            <w:tcW w:w="1134" w:type="dxa"/>
            <w:vAlign w:val="center"/>
          </w:tcPr>
          <w:p>
            <w:pPr>
              <w:spacing w:line="360" w:lineRule="auto"/>
              <w:jc w:val="center"/>
              <w:rPr>
                <w:rFonts w:ascii="仿宋_GB2312" w:eastAsia="仿宋_GB2312"/>
                <w:color w:val="000000"/>
                <w:sz w:val="24"/>
              </w:rPr>
            </w:pPr>
          </w:p>
        </w:tc>
        <w:tc>
          <w:tcPr>
            <w:tcW w:w="2647" w:type="dxa"/>
            <w:vAlign w:val="center"/>
          </w:tcPr>
          <w:p>
            <w:pPr>
              <w:spacing w:line="360" w:lineRule="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000000"/>
                <w:sz w:val="24"/>
              </w:rPr>
            </w:pPr>
          </w:p>
        </w:tc>
        <w:tc>
          <w:tcPr>
            <w:tcW w:w="1417" w:type="dxa"/>
            <w:vAlign w:val="center"/>
          </w:tcPr>
          <w:p>
            <w:pPr>
              <w:spacing w:line="360" w:lineRule="auto"/>
              <w:jc w:val="center"/>
              <w:rPr>
                <w:rFonts w:ascii="仿宋_GB2312" w:eastAsia="仿宋_GB2312"/>
                <w:color w:val="000000"/>
                <w:sz w:val="24"/>
              </w:rPr>
            </w:pPr>
          </w:p>
        </w:tc>
        <w:tc>
          <w:tcPr>
            <w:tcW w:w="1701" w:type="dxa"/>
            <w:vAlign w:val="center"/>
          </w:tcPr>
          <w:p>
            <w:pPr>
              <w:spacing w:line="360" w:lineRule="auto"/>
              <w:jc w:val="center"/>
              <w:rPr>
                <w:rFonts w:ascii="仿宋_GB2312" w:eastAsia="仿宋_GB2312"/>
                <w:color w:val="000000"/>
                <w:sz w:val="24"/>
              </w:rPr>
            </w:pPr>
          </w:p>
        </w:tc>
        <w:tc>
          <w:tcPr>
            <w:tcW w:w="1418" w:type="dxa"/>
            <w:vAlign w:val="center"/>
          </w:tcPr>
          <w:p>
            <w:pPr>
              <w:spacing w:line="360" w:lineRule="auto"/>
              <w:jc w:val="center"/>
              <w:rPr>
                <w:rFonts w:ascii="仿宋_GB2312" w:eastAsia="仿宋_GB2312"/>
                <w:color w:val="000000"/>
                <w:sz w:val="24"/>
              </w:rPr>
            </w:pPr>
          </w:p>
        </w:tc>
        <w:tc>
          <w:tcPr>
            <w:tcW w:w="1134" w:type="dxa"/>
            <w:vAlign w:val="center"/>
          </w:tcPr>
          <w:p>
            <w:pPr>
              <w:spacing w:line="360" w:lineRule="auto"/>
              <w:jc w:val="center"/>
              <w:rPr>
                <w:rFonts w:ascii="仿宋_GB2312" w:eastAsia="仿宋_GB2312"/>
                <w:color w:val="000000"/>
                <w:sz w:val="24"/>
              </w:rPr>
            </w:pPr>
          </w:p>
        </w:tc>
        <w:tc>
          <w:tcPr>
            <w:tcW w:w="2647" w:type="dxa"/>
            <w:vAlign w:val="center"/>
          </w:tcPr>
          <w:p>
            <w:pPr>
              <w:spacing w:line="360" w:lineRule="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000000"/>
                <w:sz w:val="24"/>
              </w:rPr>
            </w:pPr>
          </w:p>
        </w:tc>
        <w:tc>
          <w:tcPr>
            <w:tcW w:w="1417" w:type="dxa"/>
            <w:vAlign w:val="center"/>
          </w:tcPr>
          <w:p>
            <w:pPr>
              <w:spacing w:line="360" w:lineRule="auto"/>
              <w:jc w:val="center"/>
              <w:rPr>
                <w:rFonts w:ascii="仿宋_GB2312" w:eastAsia="仿宋_GB2312"/>
                <w:color w:val="000000"/>
                <w:sz w:val="24"/>
              </w:rPr>
            </w:pPr>
          </w:p>
        </w:tc>
        <w:tc>
          <w:tcPr>
            <w:tcW w:w="1701" w:type="dxa"/>
            <w:vAlign w:val="center"/>
          </w:tcPr>
          <w:p>
            <w:pPr>
              <w:spacing w:line="360" w:lineRule="auto"/>
              <w:jc w:val="center"/>
              <w:rPr>
                <w:rFonts w:ascii="仿宋_GB2312" w:eastAsia="仿宋_GB2312"/>
                <w:color w:val="000000"/>
                <w:sz w:val="24"/>
              </w:rPr>
            </w:pPr>
          </w:p>
        </w:tc>
        <w:tc>
          <w:tcPr>
            <w:tcW w:w="1418" w:type="dxa"/>
            <w:vAlign w:val="center"/>
          </w:tcPr>
          <w:p>
            <w:pPr>
              <w:spacing w:line="360" w:lineRule="auto"/>
              <w:jc w:val="center"/>
              <w:rPr>
                <w:rFonts w:ascii="仿宋_GB2312" w:eastAsia="仿宋_GB2312"/>
                <w:color w:val="000000"/>
                <w:sz w:val="24"/>
              </w:rPr>
            </w:pPr>
          </w:p>
        </w:tc>
        <w:tc>
          <w:tcPr>
            <w:tcW w:w="1134" w:type="dxa"/>
            <w:vAlign w:val="center"/>
          </w:tcPr>
          <w:p>
            <w:pPr>
              <w:spacing w:line="360" w:lineRule="auto"/>
              <w:jc w:val="center"/>
              <w:rPr>
                <w:rFonts w:ascii="仿宋_GB2312" w:eastAsia="仿宋_GB2312"/>
                <w:color w:val="000000"/>
                <w:sz w:val="24"/>
              </w:rPr>
            </w:pPr>
          </w:p>
        </w:tc>
        <w:tc>
          <w:tcPr>
            <w:tcW w:w="2647" w:type="dxa"/>
            <w:vAlign w:val="center"/>
          </w:tcPr>
          <w:p>
            <w:pPr>
              <w:spacing w:line="360" w:lineRule="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000000"/>
                <w:sz w:val="24"/>
              </w:rPr>
            </w:pPr>
          </w:p>
        </w:tc>
        <w:tc>
          <w:tcPr>
            <w:tcW w:w="1417" w:type="dxa"/>
            <w:vAlign w:val="center"/>
          </w:tcPr>
          <w:p>
            <w:pPr>
              <w:spacing w:line="360" w:lineRule="auto"/>
              <w:jc w:val="center"/>
              <w:rPr>
                <w:rFonts w:ascii="仿宋_GB2312" w:eastAsia="仿宋_GB2312"/>
                <w:color w:val="000000"/>
                <w:sz w:val="24"/>
              </w:rPr>
            </w:pPr>
          </w:p>
        </w:tc>
        <w:tc>
          <w:tcPr>
            <w:tcW w:w="1701" w:type="dxa"/>
            <w:vAlign w:val="center"/>
          </w:tcPr>
          <w:p>
            <w:pPr>
              <w:spacing w:line="360" w:lineRule="auto"/>
              <w:jc w:val="center"/>
              <w:rPr>
                <w:rFonts w:ascii="仿宋_GB2312" w:eastAsia="仿宋_GB2312"/>
                <w:color w:val="000000"/>
                <w:sz w:val="24"/>
              </w:rPr>
            </w:pPr>
          </w:p>
        </w:tc>
        <w:tc>
          <w:tcPr>
            <w:tcW w:w="1418" w:type="dxa"/>
            <w:vAlign w:val="center"/>
          </w:tcPr>
          <w:p>
            <w:pPr>
              <w:spacing w:line="360" w:lineRule="auto"/>
              <w:jc w:val="center"/>
              <w:rPr>
                <w:rFonts w:ascii="仿宋_GB2312" w:eastAsia="仿宋_GB2312"/>
                <w:color w:val="000000"/>
                <w:sz w:val="24"/>
              </w:rPr>
            </w:pPr>
          </w:p>
        </w:tc>
        <w:tc>
          <w:tcPr>
            <w:tcW w:w="1134" w:type="dxa"/>
            <w:vAlign w:val="center"/>
          </w:tcPr>
          <w:p>
            <w:pPr>
              <w:spacing w:line="360" w:lineRule="auto"/>
              <w:jc w:val="center"/>
              <w:rPr>
                <w:rFonts w:ascii="仿宋_GB2312" w:eastAsia="仿宋_GB2312"/>
                <w:color w:val="000000"/>
                <w:sz w:val="24"/>
              </w:rPr>
            </w:pPr>
          </w:p>
        </w:tc>
        <w:tc>
          <w:tcPr>
            <w:tcW w:w="2647" w:type="dxa"/>
            <w:vAlign w:val="center"/>
          </w:tcPr>
          <w:p>
            <w:pPr>
              <w:spacing w:line="360" w:lineRule="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000000"/>
                <w:sz w:val="24"/>
              </w:rPr>
            </w:pPr>
          </w:p>
        </w:tc>
        <w:tc>
          <w:tcPr>
            <w:tcW w:w="1417" w:type="dxa"/>
            <w:vAlign w:val="center"/>
          </w:tcPr>
          <w:p>
            <w:pPr>
              <w:spacing w:line="360" w:lineRule="auto"/>
              <w:jc w:val="center"/>
              <w:rPr>
                <w:rFonts w:ascii="仿宋_GB2312" w:eastAsia="仿宋_GB2312"/>
                <w:color w:val="000000"/>
                <w:sz w:val="24"/>
              </w:rPr>
            </w:pPr>
          </w:p>
        </w:tc>
        <w:tc>
          <w:tcPr>
            <w:tcW w:w="1701" w:type="dxa"/>
            <w:vAlign w:val="center"/>
          </w:tcPr>
          <w:p>
            <w:pPr>
              <w:spacing w:line="360" w:lineRule="auto"/>
              <w:jc w:val="center"/>
              <w:rPr>
                <w:rFonts w:ascii="仿宋_GB2312" w:eastAsia="仿宋_GB2312"/>
                <w:color w:val="000000"/>
                <w:sz w:val="24"/>
              </w:rPr>
            </w:pPr>
          </w:p>
        </w:tc>
        <w:tc>
          <w:tcPr>
            <w:tcW w:w="1418" w:type="dxa"/>
            <w:vAlign w:val="center"/>
          </w:tcPr>
          <w:p>
            <w:pPr>
              <w:spacing w:line="360" w:lineRule="auto"/>
              <w:jc w:val="center"/>
              <w:rPr>
                <w:rFonts w:ascii="仿宋_GB2312" w:eastAsia="仿宋_GB2312"/>
                <w:color w:val="000000"/>
                <w:sz w:val="24"/>
              </w:rPr>
            </w:pPr>
          </w:p>
        </w:tc>
        <w:tc>
          <w:tcPr>
            <w:tcW w:w="1134" w:type="dxa"/>
            <w:vAlign w:val="center"/>
          </w:tcPr>
          <w:p>
            <w:pPr>
              <w:spacing w:line="360" w:lineRule="auto"/>
              <w:jc w:val="center"/>
              <w:rPr>
                <w:rFonts w:ascii="仿宋_GB2312" w:eastAsia="仿宋_GB2312"/>
                <w:color w:val="000000"/>
                <w:sz w:val="24"/>
              </w:rPr>
            </w:pPr>
          </w:p>
        </w:tc>
        <w:tc>
          <w:tcPr>
            <w:tcW w:w="2647" w:type="dxa"/>
            <w:vAlign w:val="center"/>
          </w:tcPr>
          <w:p>
            <w:pPr>
              <w:spacing w:line="360" w:lineRule="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000000"/>
                <w:sz w:val="24"/>
              </w:rPr>
            </w:pPr>
          </w:p>
        </w:tc>
        <w:tc>
          <w:tcPr>
            <w:tcW w:w="1417" w:type="dxa"/>
            <w:vAlign w:val="center"/>
          </w:tcPr>
          <w:p>
            <w:pPr>
              <w:spacing w:line="360" w:lineRule="auto"/>
              <w:jc w:val="center"/>
              <w:rPr>
                <w:rFonts w:ascii="仿宋_GB2312" w:eastAsia="仿宋_GB2312"/>
                <w:color w:val="000000"/>
                <w:sz w:val="24"/>
              </w:rPr>
            </w:pPr>
          </w:p>
        </w:tc>
        <w:tc>
          <w:tcPr>
            <w:tcW w:w="1701" w:type="dxa"/>
            <w:vAlign w:val="center"/>
          </w:tcPr>
          <w:p>
            <w:pPr>
              <w:spacing w:line="360" w:lineRule="auto"/>
              <w:jc w:val="center"/>
              <w:rPr>
                <w:rFonts w:ascii="仿宋_GB2312" w:eastAsia="仿宋_GB2312"/>
                <w:color w:val="000000"/>
                <w:sz w:val="24"/>
              </w:rPr>
            </w:pPr>
          </w:p>
        </w:tc>
        <w:tc>
          <w:tcPr>
            <w:tcW w:w="1418" w:type="dxa"/>
            <w:vAlign w:val="center"/>
          </w:tcPr>
          <w:p>
            <w:pPr>
              <w:spacing w:line="360" w:lineRule="auto"/>
              <w:jc w:val="center"/>
              <w:rPr>
                <w:rFonts w:ascii="仿宋_GB2312" w:eastAsia="仿宋_GB2312"/>
                <w:color w:val="000000"/>
                <w:sz w:val="24"/>
              </w:rPr>
            </w:pPr>
          </w:p>
        </w:tc>
        <w:tc>
          <w:tcPr>
            <w:tcW w:w="1134" w:type="dxa"/>
            <w:vAlign w:val="center"/>
          </w:tcPr>
          <w:p>
            <w:pPr>
              <w:spacing w:line="360" w:lineRule="auto"/>
              <w:jc w:val="center"/>
              <w:rPr>
                <w:rFonts w:ascii="仿宋_GB2312" w:eastAsia="仿宋_GB2312"/>
                <w:color w:val="000000"/>
                <w:sz w:val="24"/>
              </w:rPr>
            </w:pPr>
          </w:p>
        </w:tc>
        <w:tc>
          <w:tcPr>
            <w:tcW w:w="2647" w:type="dxa"/>
            <w:vAlign w:val="center"/>
          </w:tcPr>
          <w:p>
            <w:pPr>
              <w:spacing w:line="360" w:lineRule="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000000"/>
                <w:sz w:val="24"/>
              </w:rPr>
            </w:pPr>
          </w:p>
        </w:tc>
        <w:tc>
          <w:tcPr>
            <w:tcW w:w="1417" w:type="dxa"/>
            <w:vAlign w:val="center"/>
          </w:tcPr>
          <w:p>
            <w:pPr>
              <w:spacing w:line="360" w:lineRule="auto"/>
              <w:jc w:val="center"/>
              <w:rPr>
                <w:rFonts w:ascii="仿宋_GB2312" w:eastAsia="仿宋_GB2312"/>
                <w:color w:val="000000"/>
                <w:sz w:val="24"/>
              </w:rPr>
            </w:pPr>
          </w:p>
        </w:tc>
        <w:tc>
          <w:tcPr>
            <w:tcW w:w="1701" w:type="dxa"/>
            <w:vAlign w:val="center"/>
          </w:tcPr>
          <w:p>
            <w:pPr>
              <w:spacing w:line="360" w:lineRule="auto"/>
              <w:jc w:val="center"/>
              <w:rPr>
                <w:rFonts w:ascii="仿宋_GB2312" w:eastAsia="仿宋_GB2312"/>
                <w:color w:val="000000"/>
                <w:sz w:val="24"/>
              </w:rPr>
            </w:pPr>
          </w:p>
        </w:tc>
        <w:tc>
          <w:tcPr>
            <w:tcW w:w="1418" w:type="dxa"/>
            <w:vAlign w:val="center"/>
          </w:tcPr>
          <w:p>
            <w:pPr>
              <w:spacing w:line="360" w:lineRule="auto"/>
              <w:jc w:val="center"/>
              <w:rPr>
                <w:rFonts w:ascii="仿宋_GB2312" w:eastAsia="仿宋_GB2312"/>
                <w:color w:val="000000"/>
                <w:sz w:val="24"/>
              </w:rPr>
            </w:pPr>
          </w:p>
        </w:tc>
        <w:tc>
          <w:tcPr>
            <w:tcW w:w="1134" w:type="dxa"/>
            <w:vAlign w:val="center"/>
          </w:tcPr>
          <w:p>
            <w:pPr>
              <w:spacing w:line="360" w:lineRule="auto"/>
              <w:jc w:val="center"/>
              <w:rPr>
                <w:rFonts w:ascii="仿宋_GB2312" w:eastAsia="仿宋_GB2312"/>
                <w:color w:val="000000"/>
                <w:sz w:val="24"/>
              </w:rPr>
            </w:pPr>
          </w:p>
        </w:tc>
        <w:tc>
          <w:tcPr>
            <w:tcW w:w="2647" w:type="dxa"/>
            <w:vAlign w:val="center"/>
          </w:tcPr>
          <w:p>
            <w:pPr>
              <w:spacing w:line="360" w:lineRule="auto"/>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63" w:type="dxa"/>
          </w:tcPr>
          <w:p>
            <w:pPr>
              <w:spacing w:line="360" w:lineRule="auto"/>
              <w:jc w:val="center"/>
              <w:rPr>
                <w:rFonts w:ascii="仿宋_GB2312" w:eastAsia="仿宋_GB2312"/>
                <w:color w:val="000000"/>
                <w:sz w:val="24"/>
              </w:rPr>
            </w:pPr>
          </w:p>
        </w:tc>
        <w:tc>
          <w:tcPr>
            <w:tcW w:w="1417" w:type="dxa"/>
            <w:vAlign w:val="center"/>
          </w:tcPr>
          <w:p>
            <w:pPr>
              <w:spacing w:line="360" w:lineRule="auto"/>
              <w:jc w:val="center"/>
              <w:rPr>
                <w:rFonts w:ascii="仿宋_GB2312" w:eastAsia="仿宋_GB2312"/>
                <w:color w:val="000000"/>
                <w:sz w:val="24"/>
              </w:rPr>
            </w:pPr>
          </w:p>
        </w:tc>
        <w:tc>
          <w:tcPr>
            <w:tcW w:w="1701" w:type="dxa"/>
            <w:vAlign w:val="center"/>
          </w:tcPr>
          <w:p>
            <w:pPr>
              <w:spacing w:line="360" w:lineRule="auto"/>
              <w:jc w:val="center"/>
              <w:rPr>
                <w:rFonts w:ascii="仿宋_GB2312" w:eastAsia="仿宋_GB2312"/>
                <w:color w:val="000000"/>
                <w:sz w:val="24"/>
              </w:rPr>
            </w:pPr>
          </w:p>
        </w:tc>
        <w:tc>
          <w:tcPr>
            <w:tcW w:w="1418" w:type="dxa"/>
            <w:vAlign w:val="center"/>
          </w:tcPr>
          <w:p>
            <w:pPr>
              <w:spacing w:line="360" w:lineRule="auto"/>
              <w:jc w:val="center"/>
              <w:rPr>
                <w:rFonts w:ascii="仿宋_GB2312" w:eastAsia="仿宋_GB2312"/>
                <w:color w:val="000000"/>
                <w:sz w:val="24"/>
              </w:rPr>
            </w:pPr>
          </w:p>
        </w:tc>
        <w:tc>
          <w:tcPr>
            <w:tcW w:w="1134" w:type="dxa"/>
            <w:vAlign w:val="center"/>
          </w:tcPr>
          <w:p>
            <w:pPr>
              <w:spacing w:line="360" w:lineRule="auto"/>
              <w:jc w:val="center"/>
              <w:rPr>
                <w:rFonts w:ascii="仿宋_GB2312" w:eastAsia="仿宋_GB2312"/>
                <w:color w:val="000000"/>
                <w:sz w:val="24"/>
              </w:rPr>
            </w:pPr>
          </w:p>
        </w:tc>
        <w:tc>
          <w:tcPr>
            <w:tcW w:w="2647" w:type="dxa"/>
            <w:vAlign w:val="center"/>
          </w:tcPr>
          <w:p>
            <w:pPr>
              <w:spacing w:line="360" w:lineRule="auto"/>
              <w:rPr>
                <w:rFonts w:ascii="仿宋_GB2312" w:eastAsia="仿宋_GB2312"/>
                <w:color w:val="000000"/>
                <w:sz w:val="24"/>
              </w:rPr>
            </w:pPr>
          </w:p>
        </w:tc>
      </w:tr>
    </w:tbl>
    <w:p>
      <w:pPr>
        <w:spacing w:line="480" w:lineRule="exact"/>
        <w:rPr>
          <w:rFonts w:ascii="仿宋_GB2312" w:hAnsi="宋体" w:eastAsia="仿宋_GB2312"/>
          <w:bCs/>
          <w:color w:val="000000"/>
          <w:sz w:val="28"/>
          <w:szCs w:val="28"/>
        </w:rPr>
      </w:pPr>
    </w:p>
    <w:p>
      <w:pPr>
        <w:spacing w:line="360" w:lineRule="auto"/>
        <w:rPr>
          <w:rFonts w:asciiTheme="minorEastAsia" w:hAnsiTheme="minorEastAsia" w:eastAsiaTheme="minorEastAsia"/>
          <w:bCs/>
          <w:color w:val="000000"/>
          <w:sz w:val="28"/>
          <w:szCs w:val="28"/>
        </w:rPr>
      </w:pPr>
    </w:p>
    <w:p>
      <w:pPr>
        <w:autoSpaceDE w:val="0"/>
        <w:autoSpaceDN w:val="0"/>
        <w:adjustRightInd w:val="0"/>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lang w:val="zh-CN"/>
        </w:rPr>
        <w:t>投标人（公章）：</w:t>
      </w:r>
    </w:p>
    <w:p>
      <w:pPr>
        <w:autoSpaceDE w:val="0"/>
        <w:autoSpaceDN w:val="0"/>
        <w:adjustRightInd w:val="0"/>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lang w:val="zh-CN"/>
        </w:rPr>
        <w:t>投标人全权代表签字：</w:t>
      </w:r>
    </w:p>
    <w:p>
      <w:pPr>
        <w:autoSpaceDE w:val="0"/>
        <w:autoSpaceDN w:val="0"/>
        <w:adjustRightInd w:val="0"/>
        <w:spacing w:line="360" w:lineRule="auto"/>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lang w:val="zh-CN"/>
        </w:rPr>
        <w:t>日期</w:t>
      </w:r>
      <w:r>
        <w:rPr>
          <w:rFonts w:asciiTheme="minorEastAsia" w:hAnsiTheme="minorEastAsia" w:eastAsiaTheme="minorEastAsia"/>
          <w:color w:val="000000"/>
          <w:sz w:val="28"/>
          <w:szCs w:val="28"/>
        </w:rPr>
        <w:t>：</w:t>
      </w:r>
      <w:r>
        <w:rPr>
          <w:rFonts w:asciiTheme="minorEastAsia" w:hAnsiTheme="minorEastAsia" w:eastAsiaTheme="minorEastAsia"/>
          <w:color w:val="000000"/>
          <w:sz w:val="28"/>
          <w:szCs w:val="28"/>
          <w:u w:val="single"/>
        </w:rPr>
        <w:t xml:space="preserve">      </w:t>
      </w:r>
      <w:r>
        <w:rPr>
          <w:rFonts w:asciiTheme="minorEastAsia" w:hAnsiTheme="minorEastAsia" w:eastAsiaTheme="minorEastAsia"/>
          <w:color w:val="000000"/>
          <w:sz w:val="28"/>
          <w:szCs w:val="28"/>
          <w:lang w:val="zh-CN"/>
        </w:rPr>
        <w:t>年</w:t>
      </w:r>
      <w:r>
        <w:rPr>
          <w:rFonts w:asciiTheme="minorEastAsia" w:hAnsiTheme="minorEastAsia" w:eastAsiaTheme="minorEastAsia"/>
          <w:color w:val="000000"/>
          <w:sz w:val="28"/>
          <w:szCs w:val="28"/>
          <w:u w:val="single"/>
        </w:rPr>
        <w:t xml:space="preserve">      </w:t>
      </w:r>
      <w:r>
        <w:rPr>
          <w:rFonts w:asciiTheme="minorEastAsia" w:hAnsiTheme="minorEastAsia" w:eastAsiaTheme="minorEastAsia"/>
          <w:color w:val="000000"/>
          <w:sz w:val="28"/>
          <w:szCs w:val="28"/>
          <w:lang w:val="zh-CN"/>
        </w:rPr>
        <w:t>月</w:t>
      </w:r>
      <w:r>
        <w:rPr>
          <w:rFonts w:asciiTheme="minorEastAsia" w:hAnsiTheme="minorEastAsia" w:eastAsiaTheme="minorEastAsia"/>
          <w:color w:val="000000"/>
          <w:sz w:val="28"/>
          <w:szCs w:val="28"/>
          <w:u w:val="single"/>
        </w:rPr>
        <w:t xml:space="preserve">      </w:t>
      </w:r>
      <w:r>
        <w:rPr>
          <w:rFonts w:asciiTheme="minorEastAsia" w:hAnsiTheme="minorEastAsia" w:eastAsiaTheme="minorEastAsia"/>
          <w:color w:val="000000"/>
          <w:sz w:val="28"/>
          <w:szCs w:val="28"/>
          <w:lang w:val="zh-CN"/>
        </w:rPr>
        <w:t>日</w:t>
      </w:r>
    </w:p>
    <w:p>
      <w:pPr>
        <w:autoSpaceDE w:val="0"/>
        <w:autoSpaceDN w:val="0"/>
        <w:adjustRightInd w:val="0"/>
        <w:spacing w:line="360" w:lineRule="auto"/>
        <w:outlineLvl w:val="2"/>
        <w:rPr>
          <w:rFonts w:ascii="宋体" w:hAnsi="宋体"/>
          <w:color w:val="000000"/>
          <w:sz w:val="28"/>
          <w:szCs w:val="28"/>
        </w:rPr>
      </w:pPr>
      <w:r>
        <w:rPr>
          <w:rFonts w:hint="eastAsia" w:ascii="宋体" w:hAnsi="宋体"/>
          <w:b/>
          <w:color w:val="000000"/>
          <w:sz w:val="28"/>
          <w:szCs w:val="28"/>
        </w:rPr>
        <w:br w:type="page"/>
      </w:r>
      <w:r>
        <w:rPr>
          <w:rFonts w:hint="eastAsia" w:ascii="宋体" w:hAnsi="宋体"/>
          <w:b/>
          <w:color w:val="000000"/>
          <w:sz w:val="28"/>
          <w:szCs w:val="28"/>
        </w:rPr>
        <w:t>格式六：</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rPr>
          <w:rFonts w:hint="default" w:ascii="宋体" w:hAnsi="宋体" w:eastAsia="宋体"/>
          <w:b/>
          <w:color w:val="000000"/>
          <w:sz w:val="32"/>
          <w:szCs w:val="32"/>
          <w:lang w:val="en-US" w:eastAsia="zh-CN"/>
        </w:rPr>
      </w:pPr>
      <w:r>
        <w:rPr>
          <w:rFonts w:hint="eastAsia" w:ascii="宋体" w:hAnsi="宋体"/>
          <w:b/>
          <w:color w:val="000000"/>
          <w:sz w:val="32"/>
          <w:szCs w:val="32"/>
        </w:rPr>
        <w:t>项目编号：衢院招2021-</w:t>
      </w:r>
      <w:r>
        <w:rPr>
          <w:rFonts w:hint="eastAsia" w:ascii="宋体" w:hAnsi="宋体"/>
          <w:b/>
          <w:color w:val="000000"/>
          <w:sz w:val="32"/>
          <w:szCs w:val="32"/>
          <w:lang w:val="en-US" w:eastAsia="zh-CN"/>
        </w:rPr>
        <w:t>31</w:t>
      </w:r>
    </w:p>
    <w:p>
      <w:pPr>
        <w:snapToGrid w:val="0"/>
        <w:spacing w:line="360" w:lineRule="auto"/>
        <w:rPr>
          <w:rFonts w:ascii="宋体" w:hAnsi="宋体"/>
          <w:b/>
          <w:color w:val="000000"/>
          <w:sz w:val="32"/>
          <w:szCs w:val="32"/>
        </w:rPr>
      </w:pPr>
      <w:r>
        <w:rPr>
          <w:rFonts w:hint="eastAsia" w:ascii="宋体" w:hAnsi="宋体"/>
          <w:b/>
          <w:color w:val="000000"/>
          <w:sz w:val="32"/>
          <w:szCs w:val="32"/>
        </w:rPr>
        <w:t>项目名称：</w:t>
      </w:r>
      <w:r>
        <w:rPr>
          <w:rFonts w:hint="eastAsia" w:ascii="宋体" w:hAnsi="宋体"/>
          <w:b/>
          <w:bCs w:val="0"/>
          <w:color w:val="000000"/>
          <w:sz w:val="28"/>
          <w:szCs w:val="28"/>
        </w:rPr>
        <w:t>衢州学院教职工</w:t>
      </w:r>
      <w:r>
        <w:rPr>
          <w:rFonts w:hint="eastAsia" w:ascii="宋体" w:hAnsi="宋体"/>
          <w:b/>
          <w:bCs w:val="0"/>
          <w:color w:val="000000"/>
          <w:sz w:val="28"/>
          <w:szCs w:val="28"/>
          <w:lang w:eastAsia="zh-CN"/>
        </w:rPr>
        <w:t>省外</w:t>
      </w:r>
      <w:r>
        <w:rPr>
          <w:rFonts w:hint="eastAsia" w:ascii="宋体" w:hAnsi="宋体"/>
          <w:b/>
          <w:bCs w:val="0"/>
          <w:color w:val="000000"/>
          <w:sz w:val="28"/>
          <w:szCs w:val="28"/>
        </w:rPr>
        <w:t>疗休养定点服务</w:t>
      </w:r>
      <w:r>
        <w:rPr>
          <w:rFonts w:hint="eastAsia" w:ascii="宋体" w:hAnsi="宋体"/>
          <w:b/>
          <w:bCs w:val="0"/>
          <w:color w:val="000000"/>
          <w:sz w:val="28"/>
          <w:szCs w:val="28"/>
          <w:lang w:eastAsia="zh-CN"/>
        </w:rPr>
        <w:t>采购</w:t>
      </w:r>
      <w:r>
        <w:rPr>
          <w:rFonts w:hint="eastAsia" w:ascii="宋体" w:hAnsi="宋体"/>
          <w:b/>
          <w:bCs w:val="0"/>
          <w:color w:val="000000"/>
          <w:sz w:val="28"/>
          <w:szCs w:val="28"/>
        </w:rPr>
        <w:t>项目</w:t>
      </w:r>
    </w:p>
    <w:tbl>
      <w:tblPr>
        <w:tblStyle w:val="14"/>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lang w:val="zh-CN"/>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pStyle w:val="2"/>
        <w:rPr>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格式七：</w:t>
      </w:r>
    </w:p>
    <w:p>
      <w:pPr>
        <w:spacing w:line="480" w:lineRule="exact"/>
        <w:jc w:val="center"/>
        <w:rPr>
          <w:rFonts w:ascii="宋体" w:hAnsi="宋体"/>
          <w:b/>
          <w:color w:val="000000"/>
          <w:sz w:val="36"/>
          <w:szCs w:val="36"/>
        </w:rPr>
      </w:pP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hint="default" w:ascii="宋体" w:hAnsi="宋体" w:eastAsia="宋体"/>
          <w:b/>
          <w:color w:val="000000"/>
          <w:sz w:val="28"/>
          <w:szCs w:val="28"/>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衢院招202</w:t>
      </w:r>
      <w:r>
        <w:rPr>
          <w:rFonts w:ascii="宋体" w:hAnsi="宋体"/>
          <w:b/>
          <w:color w:val="000000"/>
          <w:sz w:val="28"/>
          <w:szCs w:val="28"/>
          <w:lang w:val="zh-CN"/>
        </w:rPr>
        <w:t>1</w:t>
      </w:r>
      <w:r>
        <w:rPr>
          <w:rFonts w:hint="eastAsia" w:ascii="宋体" w:hAnsi="宋体"/>
          <w:b/>
          <w:color w:val="000000"/>
          <w:sz w:val="28"/>
          <w:szCs w:val="28"/>
          <w:lang w:val="zh-CN"/>
        </w:rPr>
        <w:t>-</w:t>
      </w:r>
      <w:r>
        <w:rPr>
          <w:rFonts w:hint="eastAsia" w:ascii="宋体" w:hAnsi="宋体"/>
          <w:b/>
          <w:color w:val="000000"/>
          <w:sz w:val="28"/>
          <w:szCs w:val="28"/>
          <w:lang w:val="en-US" w:eastAsia="zh-CN"/>
        </w:rPr>
        <w:t>31</w:t>
      </w:r>
    </w:p>
    <w:p>
      <w:pPr>
        <w:snapToGrid w:val="0"/>
        <w:spacing w:line="360" w:lineRule="auto"/>
        <w:rPr>
          <w:rFonts w:ascii="宋体" w:hAnsi="宋体"/>
          <w:b/>
          <w:color w:val="000000"/>
          <w:sz w:val="32"/>
          <w:szCs w:val="32"/>
        </w:rPr>
      </w:pPr>
      <w:r>
        <w:rPr>
          <w:rFonts w:hint="eastAsia" w:ascii="宋体" w:hAnsi="宋体"/>
          <w:b/>
          <w:bCs/>
          <w:color w:val="000000"/>
          <w:sz w:val="28"/>
          <w:szCs w:val="28"/>
          <w:lang w:val="zh-CN"/>
        </w:rPr>
        <w:t>项目名称：</w:t>
      </w:r>
      <w:r>
        <w:rPr>
          <w:rFonts w:hint="eastAsia" w:ascii="宋体" w:hAnsi="宋体"/>
          <w:b/>
          <w:bCs w:val="0"/>
          <w:color w:val="000000"/>
          <w:sz w:val="28"/>
          <w:szCs w:val="28"/>
        </w:rPr>
        <w:t>衢州学院教职工</w:t>
      </w:r>
      <w:r>
        <w:rPr>
          <w:rFonts w:hint="eastAsia" w:ascii="宋体" w:hAnsi="宋体"/>
          <w:b/>
          <w:bCs w:val="0"/>
          <w:color w:val="000000"/>
          <w:sz w:val="28"/>
          <w:szCs w:val="28"/>
          <w:lang w:eastAsia="zh-CN"/>
        </w:rPr>
        <w:t>省外</w:t>
      </w:r>
      <w:r>
        <w:rPr>
          <w:rFonts w:hint="eastAsia" w:ascii="宋体" w:hAnsi="宋体"/>
          <w:b/>
          <w:bCs w:val="0"/>
          <w:color w:val="000000"/>
          <w:sz w:val="28"/>
          <w:szCs w:val="28"/>
        </w:rPr>
        <w:t>疗休养定点服务</w:t>
      </w:r>
      <w:r>
        <w:rPr>
          <w:rFonts w:hint="eastAsia" w:ascii="宋体" w:hAnsi="宋体"/>
          <w:b/>
          <w:bCs w:val="0"/>
          <w:color w:val="000000"/>
          <w:sz w:val="28"/>
          <w:szCs w:val="28"/>
          <w:lang w:eastAsia="zh-CN"/>
        </w:rPr>
        <w:t>采购</w:t>
      </w:r>
      <w:r>
        <w:rPr>
          <w:rFonts w:hint="eastAsia" w:ascii="宋体" w:hAnsi="宋体"/>
          <w:b/>
          <w:bCs w:val="0"/>
          <w:color w:val="000000"/>
          <w:sz w:val="28"/>
          <w:szCs w:val="28"/>
        </w:rPr>
        <w:t>项目</w:t>
      </w:r>
    </w:p>
    <w:p>
      <w:pPr>
        <w:autoSpaceDE w:val="0"/>
        <w:autoSpaceDN w:val="0"/>
        <w:adjustRightInd w:val="0"/>
        <w:ind w:left="1383" w:hanging="1383" w:hangingChars="492"/>
        <w:rPr>
          <w:rFonts w:ascii="宋体" w:hAnsi="宋体"/>
          <w:b/>
          <w:color w:val="000000"/>
          <w:sz w:val="28"/>
          <w:szCs w:val="28"/>
        </w:rPr>
      </w:pP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FF0000"/>
                <w:sz w:val="30"/>
                <w:szCs w:val="30"/>
              </w:rPr>
            </w:pPr>
            <w:r>
              <w:rPr>
                <w:rFonts w:hint="eastAsia" w:ascii="宋体" w:hAnsi="宋体"/>
                <w:color w:val="FF0000"/>
                <w:sz w:val="30"/>
                <w:szCs w:val="30"/>
              </w:rPr>
              <w:t>序号</w:t>
            </w:r>
          </w:p>
        </w:tc>
        <w:tc>
          <w:tcPr>
            <w:tcW w:w="3620" w:type="dxa"/>
            <w:vAlign w:val="center"/>
          </w:tcPr>
          <w:p>
            <w:pPr>
              <w:spacing w:line="240" w:lineRule="atLeast"/>
              <w:ind w:firstLine="300" w:firstLineChars="100"/>
              <w:jc w:val="center"/>
              <w:rPr>
                <w:rFonts w:ascii="宋体" w:hAnsi="宋体"/>
                <w:color w:val="FF0000"/>
                <w:sz w:val="30"/>
                <w:szCs w:val="30"/>
              </w:rPr>
            </w:pPr>
            <w:r>
              <w:rPr>
                <w:rFonts w:hint="eastAsia" w:ascii="宋体" w:hAnsi="宋体"/>
                <w:color w:val="FF0000"/>
                <w:sz w:val="30"/>
                <w:szCs w:val="30"/>
              </w:rPr>
              <w:t>报价项目</w:t>
            </w:r>
          </w:p>
        </w:tc>
        <w:tc>
          <w:tcPr>
            <w:tcW w:w="4791" w:type="dxa"/>
            <w:vAlign w:val="center"/>
          </w:tcPr>
          <w:p>
            <w:pPr>
              <w:spacing w:line="240" w:lineRule="atLeast"/>
              <w:ind w:firstLine="300" w:firstLineChars="100"/>
              <w:jc w:val="center"/>
              <w:rPr>
                <w:rFonts w:ascii="宋体" w:hAnsi="宋体"/>
                <w:color w:val="FF0000"/>
                <w:sz w:val="30"/>
                <w:szCs w:val="30"/>
              </w:rPr>
            </w:pPr>
            <w:r>
              <w:rPr>
                <w:rFonts w:hint="eastAsia" w:ascii="宋体" w:hAnsi="宋体"/>
                <w:color w:val="FF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FF0000"/>
                <w:sz w:val="30"/>
                <w:szCs w:val="30"/>
              </w:rPr>
            </w:pPr>
            <w:r>
              <w:rPr>
                <w:rFonts w:hint="eastAsia" w:ascii="宋体" w:hAnsi="宋体"/>
                <w:color w:val="FF0000"/>
                <w:sz w:val="30"/>
                <w:szCs w:val="30"/>
              </w:rPr>
              <w:t>1</w:t>
            </w:r>
          </w:p>
        </w:tc>
        <w:tc>
          <w:tcPr>
            <w:tcW w:w="3620" w:type="dxa"/>
            <w:vAlign w:val="center"/>
          </w:tcPr>
          <w:p>
            <w:pPr>
              <w:spacing w:line="240" w:lineRule="atLeast"/>
              <w:jc w:val="center"/>
              <w:rPr>
                <w:rFonts w:hint="eastAsia" w:ascii="宋体" w:hAnsi="宋体"/>
                <w:color w:val="FF0000"/>
                <w:sz w:val="30"/>
                <w:szCs w:val="30"/>
                <w:lang w:val="zh-CN"/>
              </w:rPr>
            </w:pPr>
            <w:r>
              <w:rPr>
                <w:rFonts w:hint="eastAsia" w:ascii="宋体" w:hAnsi="宋体"/>
                <w:color w:val="FF0000"/>
                <w:sz w:val="30"/>
                <w:szCs w:val="30"/>
                <w:lang w:val="zh-CN"/>
              </w:rPr>
              <w:t>衢州学院教职工</w:t>
            </w:r>
            <w:r>
              <w:rPr>
                <w:rFonts w:hint="eastAsia" w:ascii="宋体" w:hAnsi="宋体"/>
                <w:color w:val="FF0000"/>
                <w:sz w:val="30"/>
                <w:szCs w:val="30"/>
                <w:lang w:val="zh-CN" w:eastAsia="zh-CN"/>
              </w:rPr>
              <w:t>省外</w:t>
            </w:r>
            <w:r>
              <w:rPr>
                <w:rFonts w:hint="eastAsia" w:ascii="宋体" w:hAnsi="宋体"/>
                <w:color w:val="FF0000"/>
                <w:sz w:val="30"/>
                <w:szCs w:val="30"/>
                <w:lang w:val="zh-CN"/>
              </w:rPr>
              <w:t>疗休养定点服务</w:t>
            </w:r>
            <w:r>
              <w:rPr>
                <w:rFonts w:hint="eastAsia" w:ascii="宋体" w:hAnsi="宋体"/>
                <w:color w:val="FF0000"/>
                <w:sz w:val="30"/>
                <w:szCs w:val="30"/>
                <w:lang w:val="zh-CN" w:eastAsia="zh-CN"/>
              </w:rPr>
              <w:t>采购</w:t>
            </w:r>
            <w:r>
              <w:rPr>
                <w:rFonts w:hint="eastAsia" w:ascii="宋体" w:hAnsi="宋体"/>
                <w:color w:val="FF0000"/>
                <w:sz w:val="30"/>
                <w:szCs w:val="30"/>
                <w:lang w:val="zh-CN"/>
              </w:rPr>
              <w:t>项目</w:t>
            </w:r>
          </w:p>
          <w:p>
            <w:pPr>
              <w:spacing w:line="240" w:lineRule="atLeast"/>
              <w:jc w:val="left"/>
              <w:rPr>
                <w:rFonts w:ascii="宋体" w:hAnsi="宋体"/>
                <w:color w:val="FF0000"/>
                <w:sz w:val="30"/>
                <w:szCs w:val="30"/>
              </w:rPr>
            </w:pPr>
            <w:r>
              <w:rPr>
                <w:rFonts w:hint="eastAsia" w:ascii="宋体" w:hAnsi="宋体"/>
                <w:color w:val="FF0000"/>
                <w:sz w:val="30"/>
                <w:szCs w:val="30"/>
              </w:rPr>
              <w:t>（浙江省外地区疗休养）</w:t>
            </w:r>
          </w:p>
        </w:tc>
        <w:tc>
          <w:tcPr>
            <w:tcW w:w="4791" w:type="dxa"/>
            <w:vAlign w:val="center"/>
          </w:tcPr>
          <w:p>
            <w:pPr>
              <w:spacing w:line="240" w:lineRule="atLeast"/>
              <w:jc w:val="left"/>
              <w:rPr>
                <w:rFonts w:ascii="宋体" w:hAnsi="宋体"/>
                <w:color w:val="FF0000"/>
                <w:sz w:val="30"/>
                <w:szCs w:val="30"/>
              </w:rPr>
            </w:pPr>
            <w:r>
              <w:rPr>
                <w:rFonts w:hint="eastAsia" w:ascii="宋体" w:hAnsi="宋体"/>
                <w:color w:val="FF0000"/>
                <w:sz w:val="30"/>
                <w:szCs w:val="30"/>
              </w:rPr>
              <w:t>本项目按职工疗休养经费标准执行，根据衢总工字〔2021〕12号《关于调整和完善职工疗休养政策的通知》，疗休养费用标准按不高于600元/人</w:t>
            </w:r>
            <w:r>
              <w:rPr>
                <w:rFonts w:hint="eastAsia" w:ascii="宋体" w:hAnsi="宋体"/>
                <w:color w:val="FF0000"/>
                <w:sz w:val="30"/>
                <w:szCs w:val="30"/>
                <w:lang w:val="en-US" w:eastAsia="zh-CN"/>
              </w:rPr>
              <w:t>/</w:t>
            </w:r>
            <w:r>
              <w:rPr>
                <w:rFonts w:hint="eastAsia" w:ascii="宋体" w:hAnsi="宋体"/>
                <w:color w:val="FF0000"/>
                <w:sz w:val="30"/>
                <w:szCs w:val="30"/>
              </w:rPr>
              <w:t>天的限额，总费用不高于3000元/人</w:t>
            </w:r>
            <w:r>
              <w:rPr>
                <w:rFonts w:hint="eastAsia" w:ascii="宋体" w:hAnsi="宋体"/>
                <w:color w:val="FF0000"/>
                <w:sz w:val="30"/>
                <w:szCs w:val="30"/>
                <w:lang w:val="en-US" w:eastAsia="zh-CN"/>
              </w:rPr>
              <w:t>/</w:t>
            </w:r>
            <w:r>
              <w:rPr>
                <w:rFonts w:hint="eastAsia" w:ascii="宋体" w:hAnsi="宋体"/>
                <w:color w:val="FF0000"/>
                <w:sz w:val="30"/>
                <w:szCs w:val="30"/>
              </w:rPr>
              <w:t>年的限额。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jc w:val="both"/>
              <w:rPr>
                <w:rFonts w:ascii="宋体" w:hAnsi="宋体"/>
                <w:color w:val="FF0000"/>
                <w:sz w:val="30"/>
                <w:szCs w:val="30"/>
              </w:rPr>
            </w:pPr>
            <w:r>
              <w:rPr>
                <w:rFonts w:hint="eastAsia" w:ascii="宋体" w:hAnsi="宋体"/>
                <w:b/>
                <w:bCs/>
                <w:color w:val="FF0000"/>
                <w:sz w:val="30"/>
                <w:szCs w:val="30"/>
                <w:lang w:val="zh-CN"/>
              </w:rPr>
              <w:t>合计总价（大写）</w:t>
            </w:r>
          </w:p>
        </w:tc>
        <w:tc>
          <w:tcPr>
            <w:tcW w:w="4791" w:type="dxa"/>
            <w:vAlign w:val="center"/>
          </w:tcPr>
          <w:p>
            <w:pPr>
              <w:pStyle w:val="7"/>
              <w:snapToGrid w:val="0"/>
              <w:spacing w:line="240" w:lineRule="atLeast"/>
              <w:jc w:val="left"/>
              <w:rPr>
                <w:rFonts w:hAnsi="宋体"/>
                <w:color w:val="FF0000"/>
                <w:kern w:val="2"/>
                <w:sz w:val="30"/>
                <w:szCs w:val="30"/>
              </w:rPr>
            </w:pPr>
            <w:r>
              <w:rPr>
                <w:rFonts w:hint="eastAsia" w:hAnsi="宋体"/>
                <w:color w:val="FF0000"/>
                <w:kern w:val="2"/>
                <w:sz w:val="30"/>
                <w:szCs w:val="30"/>
              </w:rPr>
              <w:t>陆</w:t>
            </w:r>
            <w:r>
              <w:rPr>
                <w:rFonts w:hAnsi="宋体"/>
                <w:color w:val="FF0000"/>
                <w:kern w:val="2"/>
                <w:sz w:val="30"/>
                <w:szCs w:val="30"/>
              </w:rPr>
              <w:t>拾捌万元整</w:t>
            </w: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4"/>
        </w:numPr>
        <w:shd w:val="clear" w:color="auto" w:fill="FFFFFF"/>
        <w:tabs>
          <w:tab w:val="left" w:pos="720"/>
        </w:tabs>
        <w:adjustRightInd w:val="0"/>
        <w:spacing w:line="500" w:lineRule="exact"/>
        <w:ind w:left="454" w:right="17" w:rightChars="8" w:firstLine="0"/>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FF0000"/>
          <w:sz w:val="24"/>
        </w:rPr>
        <w:t>住宿、吃饭、导游、门票、交通工具、旅游服务、税费等一切费用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rPr>
          <w:rFonts w:hint="eastAsia" w:ascii="宋体" w:hAnsi="宋体"/>
          <w:color w:val="000000"/>
          <w:sz w:val="28"/>
          <w:szCs w:val="28"/>
          <w:lang w:val="zh-CN"/>
        </w:rPr>
      </w:pPr>
      <w:r>
        <w:rPr>
          <w:rFonts w:hint="eastAsia" w:ascii="宋体" w:hAnsi="宋体"/>
          <w:color w:val="000000"/>
          <w:sz w:val="28"/>
          <w:szCs w:val="28"/>
          <w:lang w:val="zh-CN"/>
        </w:rPr>
        <w:t>投标人全权代表签字：             职务：         日期：</w:t>
      </w:r>
    </w:p>
    <w:p>
      <w:pPr>
        <w:pStyle w:val="2"/>
        <w:rPr>
          <w:rFonts w:hint="eastAsia" w:ascii="宋体" w:hAnsi="宋体"/>
          <w:color w:val="000000"/>
          <w:sz w:val="28"/>
          <w:szCs w:val="28"/>
          <w:lang w:val="zh-CN"/>
        </w:rPr>
      </w:pPr>
    </w:p>
    <w:p>
      <w:pPr>
        <w:autoSpaceDE w:val="0"/>
        <w:autoSpaceDN w:val="0"/>
        <w:adjustRightInd w:val="0"/>
        <w:spacing w:line="480" w:lineRule="auto"/>
        <w:outlineLvl w:val="1"/>
        <w:rPr>
          <w:rFonts w:asciiTheme="minorEastAsia" w:hAnsiTheme="minorEastAsia" w:eastAsiaTheme="minorEastAsia"/>
          <w:b/>
          <w:sz w:val="24"/>
        </w:rPr>
      </w:pPr>
      <w:r>
        <w:rPr>
          <w:rFonts w:hint="eastAsia" w:asciiTheme="minorEastAsia" w:hAnsiTheme="minorEastAsia" w:eastAsiaTheme="minorEastAsia"/>
          <w:b/>
          <w:color w:val="000000"/>
          <w:sz w:val="28"/>
          <w:szCs w:val="28"/>
        </w:rPr>
        <w:t>格式八：</w:t>
      </w:r>
    </w:p>
    <w:p>
      <w:pPr>
        <w:spacing w:line="50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中小企业声明函（服务）</w:t>
      </w:r>
    </w:p>
    <w:p>
      <w:pPr>
        <w:spacing w:line="500" w:lineRule="exact"/>
        <w:jc w:val="center"/>
        <w:rPr>
          <w:rFonts w:asciiTheme="minorEastAsia" w:hAnsiTheme="minorEastAsia" w:eastAsiaTheme="minorEastAsia"/>
        </w:rPr>
      </w:pP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本公司郑重声明，根据《政府采购促进中小 企业发展管理办法》（财库﹝2020﹞46 号）的规定，本公司参加</w:t>
      </w:r>
      <w:r>
        <w:rPr>
          <w:rFonts w:hint="eastAsia" w:asciiTheme="minorEastAsia" w:hAnsiTheme="minorEastAsia" w:eastAsiaTheme="minorEastAsia"/>
          <w:sz w:val="28"/>
          <w:szCs w:val="28"/>
          <w:u w:val="single"/>
        </w:rPr>
        <w:t>（单位名称）</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u w:val="single"/>
        </w:rPr>
        <w:t>（项目名称）</w:t>
      </w:r>
      <w:r>
        <w:rPr>
          <w:rFonts w:hint="eastAsia" w:asciiTheme="minorEastAsia" w:hAnsiTheme="minorEastAsia" w:eastAsiaTheme="minorEastAsia"/>
          <w:sz w:val="28"/>
          <w:szCs w:val="28"/>
        </w:rPr>
        <w:t>采购活动，服务全部由符合政策要求的中小企业承接。相关企业的具体情况如下：</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本企业对上述声明内容的真实性负责。如有虚假，将依法承担相应责任。</w:t>
      </w:r>
    </w:p>
    <w:p>
      <w:pPr>
        <w:spacing w:line="500" w:lineRule="exact"/>
        <w:rPr>
          <w:rFonts w:asciiTheme="minorEastAsia" w:hAnsiTheme="minorEastAsia" w:eastAsiaTheme="minorEastAsia"/>
          <w:sz w:val="28"/>
          <w:szCs w:val="28"/>
        </w:rPr>
      </w:pP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企业名称（盖章）： </w:t>
      </w: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p>
      <w:pPr>
        <w:spacing w:line="500" w:lineRule="exact"/>
        <w:rPr>
          <w:rFonts w:asciiTheme="minorEastAsia" w:hAnsiTheme="minorEastAsia" w:eastAsiaTheme="minorEastAsia"/>
          <w:b/>
          <w:spacing w:val="6"/>
          <w:sz w:val="28"/>
          <w:szCs w:val="28"/>
        </w:rPr>
      </w:pPr>
    </w:p>
    <w:p>
      <w:pPr>
        <w:pStyle w:val="7"/>
        <w:spacing w:line="500" w:lineRule="exact"/>
        <w:jc w:val="center"/>
        <w:rPr>
          <w:rFonts w:asciiTheme="minorEastAsia" w:hAnsiTheme="minorEastAsia" w:eastAsiaTheme="minorEastAsia"/>
          <w:sz w:val="28"/>
          <w:szCs w:val="28"/>
        </w:rPr>
      </w:pPr>
    </w:p>
    <w:p>
      <w:pPr>
        <w:pStyle w:val="7"/>
        <w:spacing w:line="500" w:lineRule="exact"/>
        <w:jc w:val="center"/>
        <w:rPr>
          <w:rFonts w:asciiTheme="minorEastAsia" w:hAnsiTheme="minorEastAsia" w:eastAsiaTheme="minorEastAsia"/>
          <w:sz w:val="28"/>
          <w:szCs w:val="28"/>
        </w:rPr>
      </w:pPr>
    </w:p>
    <w:p>
      <w:pPr>
        <w:pStyle w:val="23"/>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注：1.</w:t>
      </w:r>
      <w:r>
        <w:rPr>
          <w:rFonts w:asciiTheme="minorEastAsia" w:hAnsiTheme="minorEastAsia" w:eastAsiaTheme="minorEastAsia"/>
          <w:b/>
          <w:bCs/>
          <w:sz w:val="28"/>
        </w:rPr>
        <w:t>从业人员、营业收入、资产总额填报上一年度数据，无上一年度数据的新成立企业可不填报。</w:t>
      </w:r>
    </w:p>
    <w:p>
      <w:pPr>
        <w:pStyle w:val="23"/>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 xml:space="preserve"> 2.服务类(软件类及其他服务类)项目采购填此声明函。</w:t>
      </w:r>
    </w:p>
    <w:p>
      <w:pPr>
        <w:spacing w:line="588" w:lineRule="exact"/>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格式九：</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监狱或戒毒企业声明函</w:t>
      </w:r>
    </w:p>
    <w:p>
      <w:pPr>
        <w:jc w:val="center"/>
        <w:rPr>
          <w:rFonts w:asciiTheme="minorEastAsia" w:hAnsiTheme="minorEastAsia" w:eastAsiaTheme="minorEastAsia"/>
          <w:b/>
          <w:sz w:val="28"/>
          <w:szCs w:val="28"/>
          <w:lang w:val="en-GB"/>
        </w:rPr>
      </w:pP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本企业对上述声明的真实性负责。如有虚假，将依法承担相应责任。</w:t>
      </w:r>
    </w:p>
    <w:p>
      <w:pPr>
        <w:spacing w:line="560" w:lineRule="exact"/>
        <w:ind w:firstLine="584" w:firstLineChars="200"/>
        <w:rPr>
          <w:rFonts w:asciiTheme="minorEastAsia" w:hAnsiTheme="minorEastAsia" w:eastAsiaTheme="minorEastAsia"/>
          <w:spacing w:val="6"/>
          <w:sz w:val="28"/>
          <w:szCs w:val="28"/>
        </w:rPr>
      </w:pPr>
    </w:p>
    <w:p>
      <w:pPr>
        <w:spacing w:line="560" w:lineRule="exact"/>
        <w:ind w:firstLine="584" w:firstLineChars="200"/>
        <w:rPr>
          <w:rFonts w:asciiTheme="minorEastAsia" w:hAnsiTheme="minorEastAsia" w:eastAsiaTheme="minorEastAsia"/>
          <w:spacing w:val="6"/>
          <w:sz w:val="28"/>
          <w:szCs w:val="28"/>
        </w:rPr>
      </w:pPr>
    </w:p>
    <w:p>
      <w:pPr>
        <w:tabs>
          <w:tab w:val="left" w:pos="4860"/>
        </w:tabs>
        <w:spacing w:line="560" w:lineRule="exact"/>
        <w:ind w:right="1560" w:firstLine="584" w:firstLineChars="200"/>
        <w:jc w:val="center"/>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 xml:space="preserve">               企业名称（盖章）： </w:t>
      </w:r>
    </w:p>
    <w:p>
      <w:pPr>
        <w:snapToGrid w:val="0"/>
        <w:spacing w:line="540" w:lineRule="exact"/>
        <w:ind w:firstLine="584" w:firstLineChars="200"/>
        <w:rPr>
          <w:rFonts w:hint="eastAsia" w:asciiTheme="minorEastAsia" w:hAnsiTheme="minorEastAsia" w:eastAsiaTheme="minorEastAsia"/>
          <w:spacing w:val="6"/>
          <w:sz w:val="28"/>
          <w:szCs w:val="28"/>
          <w:lang w:eastAsia="zh-CN"/>
        </w:rPr>
      </w:pPr>
      <w:r>
        <w:rPr>
          <w:rFonts w:hint="eastAsia" w:asciiTheme="minorEastAsia" w:hAnsiTheme="minorEastAsia" w:eastAsiaTheme="minorEastAsia"/>
          <w:spacing w:val="6"/>
          <w:sz w:val="28"/>
          <w:szCs w:val="28"/>
        </w:rPr>
        <w:t xml:space="preserve">                      日  期</w:t>
      </w:r>
      <w:r>
        <w:rPr>
          <w:rFonts w:hint="eastAsia" w:asciiTheme="minorEastAsia" w:hAnsiTheme="minorEastAsia" w:eastAsiaTheme="minorEastAsia"/>
          <w:spacing w:val="6"/>
          <w:sz w:val="28"/>
          <w:szCs w:val="28"/>
          <w:lang w:eastAsia="zh-CN"/>
        </w:rPr>
        <w:t>：</w:t>
      </w:r>
    </w:p>
    <w:p>
      <w:pPr>
        <w:rPr>
          <w:rFonts w:hint="eastAsia"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br w:type="page"/>
      </w:r>
    </w:p>
    <w:p>
      <w:pPr>
        <w:snapToGrid w:val="0"/>
        <w:spacing w:line="540" w:lineRule="exac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格式十：</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588" w:lineRule="exact"/>
        <w:rPr>
          <w:rFonts w:asciiTheme="minorEastAsia" w:hAnsiTheme="minorEastAsia" w:eastAsiaTheme="minorEastAsia"/>
          <w:b/>
          <w:spacing w:val="6"/>
          <w:sz w:val="30"/>
          <w:szCs w:val="30"/>
        </w:rPr>
      </w:pP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本单位对上述声明的真实性负责。如有虚假，将依法承担相应责任。</w:t>
      </w:r>
    </w:p>
    <w:p>
      <w:pPr>
        <w:snapToGrid w:val="0"/>
        <w:spacing w:line="360" w:lineRule="auto"/>
        <w:ind w:firstLine="560" w:firstLineChars="200"/>
        <w:rPr>
          <w:rFonts w:asciiTheme="minorEastAsia" w:hAnsiTheme="minorEastAsia" w:eastAsiaTheme="minorEastAsia"/>
          <w:sz w:val="28"/>
          <w:szCs w:val="28"/>
        </w:rPr>
      </w:pPr>
    </w:p>
    <w:p>
      <w:pPr>
        <w:spacing w:line="588" w:lineRule="exact"/>
        <w:ind w:firstLine="624" w:firstLineChars="200"/>
        <w:rPr>
          <w:rFonts w:asciiTheme="minorEastAsia" w:hAnsiTheme="minorEastAsia" w:eastAsiaTheme="minorEastAsia"/>
          <w:spacing w:val="6"/>
          <w:sz w:val="30"/>
          <w:szCs w:val="30"/>
        </w:rPr>
      </w:pPr>
    </w:p>
    <w:p>
      <w:pPr>
        <w:snapToGrid w:val="0"/>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单位名称（盖章）：</w:t>
      </w:r>
    </w:p>
    <w:p>
      <w:pPr>
        <w:jc w:val="center"/>
        <w:rPr>
          <w:rFonts w:hint="eastAsia"/>
          <w:lang w:val="zh-CN" w:eastAsia="zh-CN"/>
        </w:rPr>
      </w:pPr>
      <w:r>
        <w:rPr>
          <w:rFonts w:hint="eastAsia" w:asciiTheme="minorEastAsia" w:hAnsiTheme="minorEastAsia" w:eastAsiaTheme="minorEastAsia"/>
          <w:sz w:val="28"/>
          <w:szCs w:val="28"/>
        </w:rPr>
        <w:t xml:space="preserve">                                       日  期：</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021-</w:t>
    </w:r>
    <w:r>
      <w:rPr>
        <w:rFonts w:hint="eastAsia" w:ascii="宋体" w:hAnsi="宋体"/>
        <w:lang w:val="en-US" w:eastAsia="zh-CN"/>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0D582924"/>
    <w:multiLevelType w:val="multilevel"/>
    <w:tmpl w:val="0D582924"/>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15C0FA"/>
    <w:multiLevelType w:val="singleLevel"/>
    <w:tmpl w:val="1B15C0FA"/>
    <w:lvl w:ilvl="0" w:tentative="0">
      <w:start w:val="1"/>
      <w:numFmt w:val="decimal"/>
      <w:lvlText w:val="%1."/>
      <w:lvlJc w:val="left"/>
      <w:pPr>
        <w:tabs>
          <w:tab w:val="left" w:pos="312"/>
        </w:tabs>
      </w:pPr>
    </w:lvl>
  </w:abstractNum>
  <w:abstractNum w:abstractNumId="3">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8D82D8C"/>
    <w:rsid w:val="0002162F"/>
    <w:rsid w:val="0002258E"/>
    <w:rsid w:val="000243F3"/>
    <w:rsid w:val="0002559F"/>
    <w:rsid w:val="00027FDE"/>
    <w:rsid w:val="00036E9B"/>
    <w:rsid w:val="00037501"/>
    <w:rsid w:val="00044AFA"/>
    <w:rsid w:val="0005782A"/>
    <w:rsid w:val="00063674"/>
    <w:rsid w:val="00067268"/>
    <w:rsid w:val="0008116C"/>
    <w:rsid w:val="00087FA7"/>
    <w:rsid w:val="000B227D"/>
    <w:rsid w:val="000B2E81"/>
    <w:rsid w:val="000C00D0"/>
    <w:rsid w:val="000C34CC"/>
    <w:rsid w:val="000D0BC9"/>
    <w:rsid w:val="000D7879"/>
    <w:rsid w:val="000E376D"/>
    <w:rsid w:val="000E646F"/>
    <w:rsid w:val="001016FC"/>
    <w:rsid w:val="00111973"/>
    <w:rsid w:val="001200AA"/>
    <w:rsid w:val="00137419"/>
    <w:rsid w:val="0014019F"/>
    <w:rsid w:val="001678C8"/>
    <w:rsid w:val="0017378C"/>
    <w:rsid w:val="00175997"/>
    <w:rsid w:val="00181762"/>
    <w:rsid w:val="00191F80"/>
    <w:rsid w:val="001A379D"/>
    <w:rsid w:val="001C374B"/>
    <w:rsid w:val="001D3A23"/>
    <w:rsid w:val="001D3C46"/>
    <w:rsid w:val="001D3D0D"/>
    <w:rsid w:val="001E01A3"/>
    <w:rsid w:val="001E4521"/>
    <w:rsid w:val="001F1ADF"/>
    <w:rsid w:val="00206886"/>
    <w:rsid w:val="00211176"/>
    <w:rsid w:val="00214954"/>
    <w:rsid w:val="0021792B"/>
    <w:rsid w:val="00217A65"/>
    <w:rsid w:val="002438E2"/>
    <w:rsid w:val="002600DA"/>
    <w:rsid w:val="00270265"/>
    <w:rsid w:val="00273E00"/>
    <w:rsid w:val="00274D33"/>
    <w:rsid w:val="00277263"/>
    <w:rsid w:val="00281EE5"/>
    <w:rsid w:val="00283714"/>
    <w:rsid w:val="00283FE7"/>
    <w:rsid w:val="002905A0"/>
    <w:rsid w:val="002A641E"/>
    <w:rsid w:val="002B1378"/>
    <w:rsid w:val="002C636E"/>
    <w:rsid w:val="002E1F79"/>
    <w:rsid w:val="002E5736"/>
    <w:rsid w:val="002F1C69"/>
    <w:rsid w:val="00303E08"/>
    <w:rsid w:val="00313047"/>
    <w:rsid w:val="00313B67"/>
    <w:rsid w:val="0031402F"/>
    <w:rsid w:val="00316985"/>
    <w:rsid w:val="00316AB7"/>
    <w:rsid w:val="00323891"/>
    <w:rsid w:val="00324A67"/>
    <w:rsid w:val="00324F0D"/>
    <w:rsid w:val="0034498C"/>
    <w:rsid w:val="00346DAD"/>
    <w:rsid w:val="00355213"/>
    <w:rsid w:val="003618B7"/>
    <w:rsid w:val="003624A7"/>
    <w:rsid w:val="0037597E"/>
    <w:rsid w:val="0038156C"/>
    <w:rsid w:val="00387FB4"/>
    <w:rsid w:val="00390D4B"/>
    <w:rsid w:val="0039601E"/>
    <w:rsid w:val="003A4290"/>
    <w:rsid w:val="003A62E2"/>
    <w:rsid w:val="003C2602"/>
    <w:rsid w:val="003C7134"/>
    <w:rsid w:val="003D42B4"/>
    <w:rsid w:val="004123AC"/>
    <w:rsid w:val="004153B8"/>
    <w:rsid w:val="00421566"/>
    <w:rsid w:val="00422DFD"/>
    <w:rsid w:val="004269E7"/>
    <w:rsid w:val="00426BD3"/>
    <w:rsid w:val="0044066B"/>
    <w:rsid w:val="00442B97"/>
    <w:rsid w:val="0044675A"/>
    <w:rsid w:val="00446FAC"/>
    <w:rsid w:val="00455FDD"/>
    <w:rsid w:val="00466FBA"/>
    <w:rsid w:val="00472788"/>
    <w:rsid w:val="004775FC"/>
    <w:rsid w:val="004908F6"/>
    <w:rsid w:val="004A0343"/>
    <w:rsid w:val="004A0773"/>
    <w:rsid w:val="004A493D"/>
    <w:rsid w:val="004A4D2B"/>
    <w:rsid w:val="004A6F9B"/>
    <w:rsid w:val="004C1A4B"/>
    <w:rsid w:val="004D3B23"/>
    <w:rsid w:val="004F1F8D"/>
    <w:rsid w:val="004F6820"/>
    <w:rsid w:val="00517A34"/>
    <w:rsid w:val="005244C1"/>
    <w:rsid w:val="0052668A"/>
    <w:rsid w:val="00532DBE"/>
    <w:rsid w:val="00540194"/>
    <w:rsid w:val="00557D3B"/>
    <w:rsid w:val="005604F3"/>
    <w:rsid w:val="0056494F"/>
    <w:rsid w:val="00582A6B"/>
    <w:rsid w:val="00584C41"/>
    <w:rsid w:val="00585663"/>
    <w:rsid w:val="00585807"/>
    <w:rsid w:val="005A2084"/>
    <w:rsid w:val="005C19AA"/>
    <w:rsid w:val="005D231E"/>
    <w:rsid w:val="005D3F93"/>
    <w:rsid w:val="005E42A1"/>
    <w:rsid w:val="0060107E"/>
    <w:rsid w:val="00602F57"/>
    <w:rsid w:val="00604C27"/>
    <w:rsid w:val="00616156"/>
    <w:rsid w:val="00631E6E"/>
    <w:rsid w:val="00632F1C"/>
    <w:rsid w:val="00634490"/>
    <w:rsid w:val="006423A8"/>
    <w:rsid w:val="006531CD"/>
    <w:rsid w:val="00653A72"/>
    <w:rsid w:val="00653CB4"/>
    <w:rsid w:val="006651B6"/>
    <w:rsid w:val="0067667A"/>
    <w:rsid w:val="006904F5"/>
    <w:rsid w:val="006A4AF2"/>
    <w:rsid w:val="006B56D8"/>
    <w:rsid w:val="006B7941"/>
    <w:rsid w:val="006C03D0"/>
    <w:rsid w:val="006C1AC1"/>
    <w:rsid w:val="006C3E0C"/>
    <w:rsid w:val="006C7E43"/>
    <w:rsid w:val="006D19B7"/>
    <w:rsid w:val="006D349C"/>
    <w:rsid w:val="006D571C"/>
    <w:rsid w:val="006E266B"/>
    <w:rsid w:val="00723000"/>
    <w:rsid w:val="007303A8"/>
    <w:rsid w:val="00735390"/>
    <w:rsid w:val="00745536"/>
    <w:rsid w:val="00753B8D"/>
    <w:rsid w:val="00755314"/>
    <w:rsid w:val="007571F2"/>
    <w:rsid w:val="007A2A27"/>
    <w:rsid w:val="007A2B9E"/>
    <w:rsid w:val="007A3C44"/>
    <w:rsid w:val="007A52B3"/>
    <w:rsid w:val="007B212B"/>
    <w:rsid w:val="007C4705"/>
    <w:rsid w:val="007C75D8"/>
    <w:rsid w:val="007D2721"/>
    <w:rsid w:val="007E1872"/>
    <w:rsid w:val="007E5D38"/>
    <w:rsid w:val="00804142"/>
    <w:rsid w:val="008123DB"/>
    <w:rsid w:val="0081383C"/>
    <w:rsid w:val="00816AB7"/>
    <w:rsid w:val="00825173"/>
    <w:rsid w:val="00833A00"/>
    <w:rsid w:val="00835A8C"/>
    <w:rsid w:val="00852D62"/>
    <w:rsid w:val="00884082"/>
    <w:rsid w:val="008A093B"/>
    <w:rsid w:val="008B0300"/>
    <w:rsid w:val="008C1DE4"/>
    <w:rsid w:val="008C5125"/>
    <w:rsid w:val="008E750E"/>
    <w:rsid w:val="008F13A7"/>
    <w:rsid w:val="008F743E"/>
    <w:rsid w:val="00901BE7"/>
    <w:rsid w:val="0090770E"/>
    <w:rsid w:val="00907A31"/>
    <w:rsid w:val="00911865"/>
    <w:rsid w:val="00927A1D"/>
    <w:rsid w:val="00934901"/>
    <w:rsid w:val="00936790"/>
    <w:rsid w:val="009403E9"/>
    <w:rsid w:val="00943491"/>
    <w:rsid w:val="00961917"/>
    <w:rsid w:val="00972EBB"/>
    <w:rsid w:val="00985606"/>
    <w:rsid w:val="009878F5"/>
    <w:rsid w:val="00993666"/>
    <w:rsid w:val="00996873"/>
    <w:rsid w:val="009B0356"/>
    <w:rsid w:val="009B3494"/>
    <w:rsid w:val="009B7482"/>
    <w:rsid w:val="009C704A"/>
    <w:rsid w:val="009D617F"/>
    <w:rsid w:val="009E48F7"/>
    <w:rsid w:val="009F59C5"/>
    <w:rsid w:val="009F7FAE"/>
    <w:rsid w:val="00A071F0"/>
    <w:rsid w:val="00A220B0"/>
    <w:rsid w:val="00A31FCB"/>
    <w:rsid w:val="00A70417"/>
    <w:rsid w:val="00A77583"/>
    <w:rsid w:val="00A9554E"/>
    <w:rsid w:val="00A9559F"/>
    <w:rsid w:val="00AA07A0"/>
    <w:rsid w:val="00AA50F3"/>
    <w:rsid w:val="00AA691D"/>
    <w:rsid w:val="00AD34FB"/>
    <w:rsid w:val="00AE56A4"/>
    <w:rsid w:val="00AE5945"/>
    <w:rsid w:val="00AE6F68"/>
    <w:rsid w:val="00AF02DB"/>
    <w:rsid w:val="00AF055F"/>
    <w:rsid w:val="00B043BB"/>
    <w:rsid w:val="00B117C1"/>
    <w:rsid w:val="00B11D40"/>
    <w:rsid w:val="00B13D15"/>
    <w:rsid w:val="00B374CF"/>
    <w:rsid w:val="00B42F7C"/>
    <w:rsid w:val="00B43D6B"/>
    <w:rsid w:val="00B52B9B"/>
    <w:rsid w:val="00B661E0"/>
    <w:rsid w:val="00B66DF7"/>
    <w:rsid w:val="00B72995"/>
    <w:rsid w:val="00B81384"/>
    <w:rsid w:val="00B951C0"/>
    <w:rsid w:val="00BA0BD5"/>
    <w:rsid w:val="00BA4828"/>
    <w:rsid w:val="00BB68BF"/>
    <w:rsid w:val="00BC7524"/>
    <w:rsid w:val="00BC7BAA"/>
    <w:rsid w:val="00BD327C"/>
    <w:rsid w:val="00BD452B"/>
    <w:rsid w:val="00BE5B65"/>
    <w:rsid w:val="00BF5156"/>
    <w:rsid w:val="00C009A7"/>
    <w:rsid w:val="00C041C2"/>
    <w:rsid w:val="00C0764D"/>
    <w:rsid w:val="00C270D3"/>
    <w:rsid w:val="00C33D29"/>
    <w:rsid w:val="00C414F4"/>
    <w:rsid w:val="00C45A49"/>
    <w:rsid w:val="00C505A0"/>
    <w:rsid w:val="00C60185"/>
    <w:rsid w:val="00C66811"/>
    <w:rsid w:val="00C67547"/>
    <w:rsid w:val="00C777FE"/>
    <w:rsid w:val="00C96587"/>
    <w:rsid w:val="00CC4E58"/>
    <w:rsid w:val="00CD50A6"/>
    <w:rsid w:val="00CE131B"/>
    <w:rsid w:val="00CF46CE"/>
    <w:rsid w:val="00CF6634"/>
    <w:rsid w:val="00D04D9C"/>
    <w:rsid w:val="00D0508E"/>
    <w:rsid w:val="00D06885"/>
    <w:rsid w:val="00D160BD"/>
    <w:rsid w:val="00D30DF2"/>
    <w:rsid w:val="00D37E68"/>
    <w:rsid w:val="00D42FA1"/>
    <w:rsid w:val="00D6092C"/>
    <w:rsid w:val="00D62F15"/>
    <w:rsid w:val="00D64B4A"/>
    <w:rsid w:val="00D66AAF"/>
    <w:rsid w:val="00D83C9B"/>
    <w:rsid w:val="00D8620A"/>
    <w:rsid w:val="00DA1967"/>
    <w:rsid w:val="00DA2BDE"/>
    <w:rsid w:val="00DD2D5C"/>
    <w:rsid w:val="00E11877"/>
    <w:rsid w:val="00E22E23"/>
    <w:rsid w:val="00E30B03"/>
    <w:rsid w:val="00E31023"/>
    <w:rsid w:val="00E320BC"/>
    <w:rsid w:val="00E42233"/>
    <w:rsid w:val="00E500FC"/>
    <w:rsid w:val="00E554BA"/>
    <w:rsid w:val="00E70341"/>
    <w:rsid w:val="00E70B47"/>
    <w:rsid w:val="00E712B6"/>
    <w:rsid w:val="00E770E4"/>
    <w:rsid w:val="00E95216"/>
    <w:rsid w:val="00EA5BF7"/>
    <w:rsid w:val="00EA5CF3"/>
    <w:rsid w:val="00ED6B20"/>
    <w:rsid w:val="00ED70FC"/>
    <w:rsid w:val="00EE0FA4"/>
    <w:rsid w:val="00F16455"/>
    <w:rsid w:val="00F26082"/>
    <w:rsid w:val="00F40459"/>
    <w:rsid w:val="00F40B55"/>
    <w:rsid w:val="00F448B1"/>
    <w:rsid w:val="00F76F4A"/>
    <w:rsid w:val="00FA2470"/>
    <w:rsid w:val="00FB161E"/>
    <w:rsid w:val="00FB3338"/>
    <w:rsid w:val="00FC33C2"/>
    <w:rsid w:val="00FC5AF8"/>
    <w:rsid w:val="00FC72E8"/>
    <w:rsid w:val="00FD1AAF"/>
    <w:rsid w:val="00FE3FA0"/>
    <w:rsid w:val="00FF41E7"/>
    <w:rsid w:val="01464406"/>
    <w:rsid w:val="03DB77D8"/>
    <w:rsid w:val="0E0F425E"/>
    <w:rsid w:val="0FEF1721"/>
    <w:rsid w:val="11BE0769"/>
    <w:rsid w:val="13A3529D"/>
    <w:rsid w:val="150F0EAD"/>
    <w:rsid w:val="178863B3"/>
    <w:rsid w:val="1A440826"/>
    <w:rsid w:val="1A740D26"/>
    <w:rsid w:val="1CAC689D"/>
    <w:rsid w:val="208572FF"/>
    <w:rsid w:val="28D82D8C"/>
    <w:rsid w:val="2AD77DE0"/>
    <w:rsid w:val="2B0C6EA9"/>
    <w:rsid w:val="2D9442F2"/>
    <w:rsid w:val="35A9151D"/>
    <w:rsid w:val="37B56158"/>
    <w:rsid w:val="38A726FB"/>
    <w:rsid w:val="38AA2D31"/>
    <w:rsid w:val="439B5F08"/>
    <w:rsid w:val="52522BB0"/>
    <w:rsid w:val="56331492"/>
    <w:rsid w:val="5A6F3444"/>
    <w:rsid w:val="5C420CB0"/>
    <w:rsid w:val="5C4C35FE"/>
    <w:rsid w:val="64DB1F6C"/>
    <w:rsid w:val="66CA3D1A"/>
    <w:rsid w:val="6BCA0904"/>
    <w:rsid w:val="6CFA532D"/>
    <w:rsid w:val="6F8A0221"/>
    <w:rsid w:val="720E6CAF"/>
    <w:rsid w:val="75CE715B"/>
    <w:rsid w:val="75DC1EE4"/>
    <w:rsid w:val="779A556F"/>
    <w:rsid w:val="796B70EA"/>
    <w:rsid w:val="7BA9303A"/>
    <w:rsid w:val="7CC51027"/>
    <w:rsid w:val="7E09495A"/>
    <w:rsid w:val="7EB77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Plain Text"/>
    <w:basedOn w:val="1"/>
    <w:link w:val="26"/>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5"/>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
    <w:name w:val="纯文本3"/>
    <w:basedOn w:val="1"/>
    <w:qFormat/>
    <w:uiPriority w:val="0"/>
    <w:pPr>
      <w:widowControl/>
      <w:overflowPunct w:val="0"/>
      <w:autoSpaceDE w:val="0"/>
      <w:autoSpaceDN w:val="0"/>
      <w:adjustRightInd w:val="0"/>
      <w:jc w:val="left"/>
      <w:textAlignment w:val="baseline"/>
    </w:pPr>
    <w:rPr>
      <w:rFonts w:ascii="宋体" w:hAnsi="Courier New"/>
    </w:rPr>
  </w:style>
  <w:style w:type="character" w:customStyle="1" w:styleId="25">
    <w:name w:val="批注框文本 Char"/>
    <w:basedOn w:val="15"/>
    <w:link w:val="9"/>
    <w:qFormat/>
    <w:uiPriority w:val="0"/>
    <w:rPr>
      <w:rFonts w:ascii="Times New Roman" w:hAnsi="Times New Roman" w:eastAsia="宋体" w:cs="Times New Roman"/>
      <w:kern w:val="2"/>
      <w:sz w:val="18"/>
      <w:szCs w:val="18"/>
    </w:rPr>
  </w:style>
  <w:style w:type="character" w:customStyle="1" w:styleId="26">
    <w:name w:val="纯文本 Char"/>
    <w:basedOn w:val="15"/>
    <w:link w:val="7"/>
    <w:qFormat/>
    <w:uiPriority w:val="99"/>
    <w:rPr>
      <w:rFonts w:ascii="宋体" w:hAnsi="Courier New" w:eastAsia="宋体"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CC4C38-7F12-4E6E-A8AC-95E888BC9ADE}">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2575</Words>
  <Characters>14678</Characters>
  <Lines>122</Lines>
  <Paragraphs>34</Paragraphs>
  <TotalTime>1</TotalTime>
  <ScaleCrop>false</ScaleCrop>
  <LinksUpToDate>false</LinksUpToDate>
  <CharactersWithSpaces>17219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2021-05-31T08:34:00Z</dcterms:created>
  <dc:creator>周建红</dc:creator>
  <cp:lastModifiedBy>周建红</cp:lastModifiedBy>
  <cp:lastPrinted>2021-05-18T03:11:00Z</cp:lastPrinted>
  <dcterms:modified xsi:type="dcterms:W3CDTF">2021-06-02T07:35:44Z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2C02CFA1264340F190E9AE5B4D37E527</vt:lpwstr>
  </property>
</Properties>
</file>