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衢州学院(部门)</w:t>
      </w:r>
      <w:r>
        <w:rPr>
          <w:rFonts w:hint="eastAsia" w:ascii="方正小标宋简体" w:hAnsi="方正小标宋简体" w:eastAsia="方正小标宋简体" w:cs="方正小标宋简体"/>
          <w:bCs/>
          <w:spacing w:val="15"/>
          <w:sz w:val="44"/>
          <w:szCs w:val="44"/>
        </w:rPr>
        <w:t>2024年部门预算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r>
        <w:rPr>
          <w:rStyle w:val="9"/>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w:t>
      </w:r>
      <w:r>
        <w:rPr>
          <w:rStyle w:val="9"/>
          <w:rFonts w:hint="eastAsia" w:ascii="黑体" w:eastAsia="黑体"/>
          <w:b w:val="0"/>
          <w:color w:val="000000"/>
          <w:sz w:val="32"/>
          <w:szCs w:val="32"/>
        </w:rPr>
        <w:t>部门概况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（二）部门机构设置情况</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二、2024年衢州学院(部门)部门预算安排情况说明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（一）关于衢州学院(部门)2024年收支预算情况的总体说明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（二）关于衢州学院(部门)2024年收入预算情况说明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（三）关于衢州学院(部门)2024年支出预算情况说明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（四）关于衢州学院(部门)2024年财政拨款收支预算情况的总体说明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（五）关于衢州学院(部门)2024年一般公共预算拨款情况说明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（六）关于衢州学院(部门)2024年一般公共预算基本支出情况说明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（七）关于衢州学院(部门)2024年政府性基金预算支出情况说明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（八）关于衢州学院(部门)2024年国有资本经营预算支出情况说明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（九）关于衢州学院(部门)2024年一般公共预算“三公”经费预算情况说明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spacing w:line="520" w:lineRule="exact"/>
        <w:rPr>
          <w:rStyle w:val="9"/>
          <w:rFonts w:ascii="黑体" w:hAnsi="Calibri" w:eastAsia="黑体"/>
          <w:b w:val="0"/>
          <w:color w:val="000000"/>
          <w:kern w:val="2"/>
          <w:sz w:val="32"/>
          <w:szCs w:val="32"/>
        </w:rPr>
      </w:pPr>
      <w:r>
        <w:rPr>
          <w:rStyle w:val="9"/>
          <w:rFonts w:hint="eastAsia" w:ascii="黑体" w:hAnsi="Calibri" w:eastAsia="黑体"/>
          <w:b w:val="0"/>
          <w:color w:val="000000"/>
          <w:kern w:val="2"/>
          <w:sz w:val="32"/>
          <w:szCs w:val="32"/>
        </w:rPr>
        <w:t>三、名词解释</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四、2024年衢州学院(部门)部门预算表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（一）2024年部门收支预算总表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（二）2024年部门收入预算总表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（三）2024年部门支出预算总表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（四）2024年部门财政拨款收支预算总表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（五）2024年部门一般公共预算支出表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（六）2024年部门一般公共预算基本支出表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（七）2024年部门一般公共预算“三公”经费支出表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（八）2024年部门政府性基金预算支出表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（九）2024年部门国有资本经营预算支出表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（十）2024年部门项目支出预算表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（十一）2024年部门项目支出绩效表</w:t>
      </w:r>
    </w:p>
    <w:p>
      <w:pPr>
        <w:spacing w:line="520" w:lineRule="exact"/>
        <w:ind w:firstLine="627" w:firstLineChars="196"/>
        <w:rPr>
          <w:rStyle w:val="9"/>
          <w:rFonts w:ascii="黑体" w:eastAsia="黑体"/>
          <w:b w:val="0"/>
          <w:color w:val="00000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tabs>
          <w:tab w:val="left" w:pos="2608"/>
        </w:tabs>
        <w:rPr>
          <w:rStyle w:val="9"/>
          <w:rFonts w:hint="default" w:ascii="黑体" w:eastAsia="黑体"/>
          <w:b w:val="0"/>
          <w:sz w:val="32"/>
          <w:szCs w:val="32"/>
        </w:rPr>
      </w:pPr>
      <w:r>
        <w:rPr>
          <w:rStyle w:val="9"/>
          <w:rFonts w:ascii="黑体" w:eastAsia="黑体"/>
          <w:b w:val="0"/>
          <w:sz w:val="32"/>
          <w:szCs w:val="32"/>
        </w:rPr>
        <w:tab/>
      </w:r>
    </w:p>
    <w:p>
      <w:pPr>
        <w:pStyle w:val="2"/>
        <w:tabs>
          <w:tab w:val="left" w:pos="2608"/>
        </w:tabs>
        <w:rPr>
          <w:rStyle w:val="9"/>
          <w:rFonts w:hint="default" w:ascii="黑体" w:eastAsia="黑体"/>
          <w:b w:val="0"/>
          <w:sz w:val="32"/>
          <w:szCs w:val="32"/>
        </w:rPr>
      </w:pPr>
    </w:p>
    <w:p>
      <w:pPr>
        <w:spacing w:line="520" w:lineRule="exact"/>
        <w:ind w:firstLine="627" w:firstLineChars="196"/>
        <w:rPr>
          <w:rStyle w:val="9"/>
          <w:rFonts w:ascii="黑体" w:eastAsia="黑体"/>
          <w:b w:val="0"/>
          <w:color w:val="000000"/>
          <w:sz w:val="32"/>
          <w:szCs w:val="32"/>
        </w:rPr>
      </w:pPr>
      <w:r>
        <w:rPr>
          <w:rStyle w:val="9"/>
          <w:rFonts w:hint="eastAsia" w:ascii="黑体" w:eastAsia="黑体"/>
          <w:b w:val="0"/>
          <w:color w:val="000000"/>
          <w:sz w:val="32"/>
          <w:szCs w:val="32"/>
        </w:rPr>
        <w:t>一、部门概况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pStyle w:val="2"/>
        <w:ind w:firstLine="640" w:firstLineChars="200"/>
        <w:jc w:val="both"/>
        <w:rPr>
          <w:rFonts w:hint="eastAsia" w:ascii="仿宋_GB2312" w:eastAsia="仿宋_GB2312"/>
          <w:bCs/>
          <w:sz w:val="32"/>
          <w:szCs w:val="32"/>
          <w:highlight w:val="none"/>
        </w:rPr>
      </w:pPr>
      <w:r>
        <w:rPr>
          <w:rFonts w:hint="eastAsia" w:ascii="仿宋_GB2312" w:eastAsia="仿宋_GB2312"/>
          <w:bCs/>
          <w:sz w:val="32"/>
          <w:szCs w:val="32"/>
          <w:highlight w:val="none"/>
        </w:rPr>
        <w:t>1.人才培养。坚持“育人为本、德育为先、能力为重、全面发展”的育人理念，持续推进“三全育人”，着力培养德智体美劳全面发展的社会主义建设者和接班人。</w:t>
      </w:r>
    </w:p>
    <w:p>
      <w:pPr>
        <w:pStyle w:val="2"/>
        <w:ind w:firstLine="640" w:firstLineChars="200"/>
        <w:jc w:val="both"/>
        <w:rPr>
          <w:rFonts w:hint="eastAsia" w:ascii="仿宋_GB2312" w:eastAsia="仿宋_GB2312"/>
          <w:bCs/>
          <w:sz w:val="32"/>
          <w:szCs w:val="32"/>
          <w:highlight w:val="none"/>
          <w:lang w:eastAsia="zh-CN"/>
        </w:rPr>
      </w:pPr>
      <w:r>
        <w:rPr>
          <w:rFonts w:hint="eastAsia" w:ascii="仿宋_GB2312" w:eastAsia="仿宋_GB2312"/>
          <w:bCs/>
          <w:sz w:val="32"/>
          <w:szCs w:val="32"/>
          <w:highlight w:val="none"/>
        </w:rPr>
        <w:t>2.科学研究。聚焦合作兴校，强化协同攻关，积极打造重大项目成果，大力加强团队和平台建设，健全科研管理制度，注重创新和贡献，实现科学研究量质齐升</w:t>
      </w:r>
      <w:r>
        <w:rPr>
          <w:rFonts w:hint="eastAsia"/>
          <w:bCs/>
          <w:sz w:val="32"/>
          <w:szCs w:val="32"/>
          <w:highlight w:val="none"/>
          <w:lang w:eastAsia="zh-CN"/>
        </w:rPr>
        <w:t>。</w:t>
      </w:r>
    </w:p>
    <w:p>
      <w:pPr>
        <w:pStyle w:val="2"/>
        <w:ind w:firstLine="640" w:firstLineChars="200"/>
        <w:jc w:val="both"/>
        <w:rPr>
          <w:rFonts w:hint="eastAsia" w:ascii="仿宋_GB2312" w:eastAsia="仿宋_GB2312"/>
          <w:bCs/>
          <w:sz w:val="32"/>
          <w:szCs w:val="32"/>
          <w:highlight w:val="none"/>
        </w:rPr>
      </w:pPr>
      <w:r>
        <w:rPr>
          <w:rFonts w:hint="eastAsia" w:ascii="仿宋_GB2312" w:eastAsia="仿宋_GB2312"/>
          <w:bCs/>
          <w:sz w:val="32"/>
          <w:szCs w:val="32"/>
          <w:highlight w:val="none"/>
        </w:rPr>
        <w:t>3.服务地方。坚持“以服务赢支持、以贡献促发展”的理念，强化需求牵引，充分发挥人才、技术和智力集聚优势，拓宽服务领域，增强服务效益，切实提升服务区域经济社会发展的贡献力和美誉度。</w:t>
      </w:r>
    </w:p>
    <w:p>
      <w:pPr>
        <w:pStyle w:val="2"/>
        <w:ind w:firstLine="640" w:firstLineChars="200"/>
        <w:jc w:val="both"/>
        <w:rPr>
          <w:rFonts w:hint="eastAsia" w:ascii="仿宋_GB2312" w:eastAsia="仿宋_GB2312"/>
          <w:bCs/>
          <w:sz w:val="32"/>
          <w:szCs w:val="32"/>
          <w:highlight w:val="none"/>
        </w:rPr>
      </w:pPr>
      <w:r>
        <w:rPr>
          <w:rFonts w:hint="eastAsia" w:ascii="仿宋_GB2312" w:eastAsia="仿宋_GB2312"/>
          <w:bCs/>
          <w:sz w:val="32"/>
          <w:szCs w:val="32"/>
          <w:highlight w:val="none"/>
        </w:rPr>
        <w:t>4.文化传承与创新。加强中华优秀传统文化教育，充分发挥“南孔圣地”特有的区域传统特色文化教育作用，提高学生对中华优秀传统文化的自主学习和探究能力，培养学生的文化创新意识，增强学生传承弘扬</w:t>
      </w:r>
      <w:bookmarkStart w:id="0" w:name="_GoBack"/>
      <w:bookmarkEnd w:id="0"/>
      <w:r>
        <w:rPr>
          <w:rFonts w:hint="eastAsia" w:ascii="仿宋_GB2312" w:eastAsia="仿宋_GB2312"/>
          <w:bCs/>
          <w:sz w:val="32"/>
          <w:szCs w:val="32"/>
          <w:highlight w:val="none"/>
        </w:rPr>
        <w:t>中华优秀传统文化的责任感和使命感。</w:t>
      </w:r>
    </w:p>
    <w:p>
      <w:pPr>
        <w:pStyle w:val="2"/>
        <w:ind w:firstLine="640" w:firstLineChars="200"/>
        <w:jc w:val="both"/>
        <w:rPr>
          <w:rFonts w:hint="default" w:ascii="仿宋_GB2312" w:eastAsia="仿宋_GB2312"/>
          <w:bCs/>
          <w:sz w:val="32"/>
          <w:szCs w:val="32"/>
          <w:highlight w:val="none"/>
          <w:lang w:val="en-US" w:eastAsia="zh-CN"/>
        </w:rPr>
      </w:pPr>
      <w:r>
        <w:rPr>
          <w:rFonts w:hint="eastAsia"/>
          <w:bCs/>
          <w:sz w:val="32"/>
          <w:szCs w:val="32"/>
          <w:highlight w:val="none"/>
          <w:lang w:val="en-US" w:eastAsia="zh-CN"/>
        </w:rPr>
        <w:t>5.国际交流与合作。积极融入国家“一带一路”战略，坚持“引进来”与“走出去”并重，加强顶层设计，大力推进国际交流合作，开展中外合作办学和学历留学生培养。</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pPr>
      <w:r>
        <w:rPr>
          <w:rFonts w:hint="eastAsia" w:ascii="仿宋_GB2312" w:eastAsia="仿宋_GB2312"/>
          <w:bCs/>
          <w:sz w:val="32"/>
          <w:szCs w:val="32"/>
        </w:rPr>
        <w:t>从预算单位构成看，衢州学院(部门)预算包括：</w:t>
      </w:r>
      <w:r>
        <w:rPr>
          <w:rFonts w:hint="eastAsia" w:ascii="仿宋_GB2312" w:eastAsia="仿宋_GB2312"/>
          <w:bCs/>
          <w:sz w:val="32"/>
          <w:szCs w:val="32"/>
          <w:highlight w:val="none"/>
          <w:lang w:val="en-US" w:eastAsia="zh-CN"/>
        </w:rPr>
        <w:t>衢州学院</w:t>
      </w:r>
      <w:r>
        <w:rPr>
          <w:rFonts w:hint="eastAsia" w:ascii="仿宋_GB2312" w:eastAsia="仿宋_GB2312"/>
          <w:bCs/>
          <w:sz w:val="32"/>
          <w:szCs w:val="32"/>
          <w:highlight w:val="none"/>
        </w:rPr>
        <w:t>本级预算。</w:t>
      </w:r>
    </w:p>
    <w:p>
      <w:pPr>
        <w:spacing w:line="520" w:lineRule="exact"/>
        <w:ind w:firstLine="640" w:firstLineChars="200"/>
        <w:rPr>
          <w:rFonts w:ascii="楷体_GB2312" w:hAnsi="楷体_GB2312" w:eastAsia="楷体_GB2312" w:cs="楷体_GB2312"/>
          <w:color w:val="000000"/>
          <w:sz w:val="32"/>
          <w:szCs w:val="32"/>
        </w:rPr>
      </w:pPr>
      <w:r>
        <w:rPr>
          <w:rStyle w:val="9"/>
          <w:rFonts w:hint="eastAsia" w:ascii="黑体" w:eastAsia="黑体"/>
          <w:b w:val="0"/>
          <w:color w:val="000000"/>
          <w:sz w:val="32"/>
          <w:szCs w:val="32"/>
        </w:rPr>
        <w:t>二、2024年衢州学院(部门)部门预算安排情况说明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（一）关于衢州学院(部门)</w:t>
      </w:r>
      <w:r>
        <w:rPr>
          <w:rStyle w:val="9"/>
          <w:rFonts w:hint="eastAsia" w:ascii="楷体_GB2312" w:hAnsi="楷体_GB2312" w:eastAsia="楷体_GB2312" w:cs="楷体_GB2312"/>
          <w:b w:val="0"/>
          <w:bCs w:val="0"/>
          <w:color w:val="000000"/>
          <w:sz w:val="32"/>
          <w:szCs w:val="32"/>
        </w:rPr>
        <w:t>2024年收支预算情况的总体说明</w:t>
      </w:r>
    </w:p>
    <w:p>
      <w:pPr>
        <w:spacing w:line="520" w:lineRule="exact"/>
        <w:ind w:firstLine="480" w:firstLineChars="150"/>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综合预算的原则，衢州学院(部门)</w:t>
      </w:r>
      <w:r>
        <w:rPr>
          <w:rFonts w:hint="eastAsia" w:ascii="仿宋_GB2312" w:eastAsia="仿宋_GB2312"/>
          <w:color w:val="000000"/>
          <w:sz w:val="32"/>
          <w:szCs w:val="32"/>
        </w:rPr>
        <w:t>所有收入和支出均纳入部门预算管理。收入包括：一般公共预算收入、财政专户管理资金收入、其他收入、上年结转结余；支出包括：教育支出、科学技术支出、社会保障和就业支出、卫生健康支出、住房保障支出。衢州学院(部门)2024年收支总预算</w:t>
      </w:r>
      <w:r>
        <w:rPr>
          <w:rFonts w:hint="eastAsia" w:ascii="仿宋_GB2312" w:eastAsia="仿宋_GB2312"/>
          <w:color w:val="000000"/>
          <w:sz w:val="32"/>
          <w:szCs w:val="32"/>
          <w:lang w:val="en-US" w:eastAsia="zh-CN"/>
        </w:rPr>
        <w:t>41145.17</w:t>
      </w:r>
      <w:r>
        <w:rPr>
          <w:rFonts w:hint="eastAsia" w:ascii="仿宋_GB2312" w:eastAsia="仿宋_GB2312"/>
          <w:color w:val="000000"/>
          <w:sz w:val="32"/>
          <w:szCs w:val="32"/>
        </w:rPr>
        <w:t>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（二）关于衢州学院(部门)2024年收入预算情况说明</w:t>
      </w:r>
    </w:p>
    <w:p>
      <w:pPr>
        <w:spacing w:line="520" w:lineRule="exact"/>
        <w:ind w:firstLine="642"/>
        <w:rPr>
          <w:rFonts w:ascii="仿宋_GB2312" w:eastAsia="仿宋_GB2312"/>
          <w:color w:val="000000"/>
          <w:sz w:val="32"/>
          <w:szCs w:val="32"/>
          <w:highlight w:val="yellow"/>
        </w:rPr>
      </w:pPr>
      <w:r>
        <w:rPr>
          <w:rFonts w:hint="eastAsia" w:ascii="仿宋_GB2312" w:hAnsi="仿宋_GB2312" w:eastAsia="仿宋_GB2312" w:cs="仿宋_GB2312"/>
          <w:color w:val="000000"/>
          <w:sz w:val="32"/>
          <w:szCs w:val="32"/>
          <w:highlight w:val="none"/>
        </w:rPr>
        <w:t>衢州学院(部门)2024年收入预算</w:t>
      </w:r>
      <w:r>
        <w:rPr>
          <w:rFonts w:hint="eastAsia" w:ascii="仿宋_GB2312" w:eastAsia="仿宋_GB2312"/>
          <w:color w:val="000000"/>
          <w:sz w:val="32"/>
          <w:szCs w:val="32"/>
          <w:highlight w:val="none"/>
          <w:lang w:val="en-US" w:eastAsia="zh-CN"/>
        </w:rPr>
        <w:t>41145.17</w:t>
      </w:r>
      <w:r>
        <w:rPr>
          <w:rFonts w:hint="eastAsia" w:ascii="仿宋_GB2312" w:hAnsi="仿宋_GB2312" w:eastAsia="仿宋_GB2312" w:cs="仿宋_GB2312"/>
          <w:color w:val="000000"/>
          <w:sz w:val="32"/>
          <w:szCs w:val="32"/>
          <w:highlight w:val="none"/>
        </w:rPr>
        <w:t>万元，比上年执行数减少</w:t>
      </w:r>
      <w:r>
        <w:rPr>
          <w:rFonts w:hint="eastAsia" w:ascii="仿宋_GB2312" w:hAnsi="仿宋_GB2312" w:eastAsia="仿宋_GB2312" w:cs="仿宋_GB2312"/>
          <w:color w:val="000000"/>
          <w:sz w:val="32"/>
          <w:szCs w:val="32"/>
          <w:highlight w:val="none"/>
          <w:lang w:val="en-US" w:eastAsia="zh-CN"/>
        </w:rPr>
        <w:t>10091.98</w:t>
      </w:r>
      <w:r>
        <w:rPr>
          <w:rFonts w:hint="eastAsia" w:ascii="仿宋_GB2312" w:hAnsi="仿宋_GB2312" w:eastAsia="仿宋_GB2312" w:cs="仿宋_GB2312"/>
          <w:color w:val="000000"/>
          <w:sz w:val="32"/>
          <w:szCs w:val="32"/>
          <w:highlight w:val="none"/>
        </w:rPr>
        <w:t>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19.7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政府性基金预算拨款安排的项目减少</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rPr>
        <w:t>其中：一般公共预算拨款收入28420.67万元（上年结转105.32万元），占</w:t>
      </w:r>
      <w:r>
        <w:rPr>
          <w:rFonts w:hint="eastAsia" w:ascii="仿宋_GB2312" w:eastAsia="仿宋_GB2312"/>
          <w:color w:val="000000"/>
          <w:sz w:val="32"/>
          <w:szCs w:val="32"/>
          <w:lang w:val="en-US" w:eastAsia="zh-CN"/>
        </w:rPr>
        <w:t>69.0</w:t>
      </w:r>
      <w:r>
        <w:rPr>
          <w:rFonts w:hint="eastAsia" w:ascii="仿宋_GB2312" w:eastAsia="仿宋_GB2312"/>
          <w:color w:val="000000"/>
          <w:sz w:val="32"/>
          <w:szCs w:val="32"/>
        </w:rPr>
        <w:t>7%；专户资金8100.36万元，占1</w:t>
      </w:r>
      <w:r>
        <w:rPr>
          <w:rFonts w:hint="eastAsia" w:ascii="仿宋_GB2312" w:eastAsia="仿宋_GB2312"/>
          <w:color w:val="000000"/>
          <w:sz w:val="32"/>
          <w:szCs w:val="32"/>
          <w:lang w:val="en-US" w:eastAsia="zh-CN"/>
        </w:rPr>
        <w:t>9.69</w:t>
      </w:r>
      <w:r>
        <w:rPr>
          <w:rFonts w:hint="eastAsia" w:ascii="仿宋_GB2312" w:eastAsia="仿宋_GB2312"/>
          <w:color w:val="000000"/>
          <w:sz w:val="32"/>
          <w:szCs w:val="32"/>
        </w:rPr>
        <w:t>%；其他收入4624.14万元，占</w:t>
      </w:r>
      <w:r>
        <w:rPr>
          <w:rFonts w:hint="eastAsia" w:ascii="仿宋_GB2312" w:eastAsia="仿宋_GB2312"/>
          <w:color w:val="000000"/>
          <w:sz w:val="32"/>
          <w:szCs w:val="32"/>
          <w:lang w:val="en-US" w:eastAsia="zh-CN"/>
        </w:rPr>
        <w:t>11.24</w:t>
      </w:r>
      <w:r>
        <w:rPr>
          <w:rFonts w:hint="eastAsia" w:ascii="仿宋_GB2312" w:eastAsia="仿宋_GB2312"/>
          <w:color w:val="000000"/>
          <w:sz w:val="32"/>
          <w:szCs w:val="32"/>
        </w:rPr>
        <w:t>%。</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（三）关于衢州学院(部门)2024年支出预算情况说明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highlight w:val="none"/>
        </w:rPr>
        <w:t>衢州学院(部门)2024年支出预算</w:t>
      </w:r>
      <w:r>
        <w:rPr>
          <w:rFonts w:hint="eastAsia" w:ascii="仿宋_GB2312" w:eastAsia="仿宋_GB2312"/>
          <w:color w:val="000000"/>
          <w:sz w:val="32"/>
          <w:szCs w:val="32"/>
          <w:highlight w:val="none"/>
          <w:lang w:val="en-US" w:eastAsia="zh-CN"/>
        </w:rPr>
        <w:t>41145.17</w:t>
      </w:r>
      <w:r>
        <w:rPr>
          <w:rFonts w:hint="eastAsia" w:ascii="仿宋_GB2312" w:hAnsi="仿宋_GB2312" w:eastAsia="仿宋_GB2312" w:cs="仿宋_GB2312"/>
          <w:color w:val="000000"/>
          <w:sz w:val="32"/>
          <w:szCs w:val="32"/>
          <w:highlight w:val="none"/>
        </w:rPr>
        <w:t>万元，比上年执行数减少</w:t>
      </w:r>
      <w:r>
        <w:rPr>
          <w:rFonts w:hint="eastAsia" w:ascii="仿宋_GB2312" w:hAnsi="仿宋_GB2312" w:eastAsia="仿宋_GB2312" w:cs="仿宋_GB2312"/>
          <w:color w:val="000000"/>
          <w:sz w:val="32"/>
          <w:szCs w:val="32"/>
          <w:highlight w:val="none"/>
          <w:lang w:val="en-US" w:eastAsia="zh-CN"/>
        </w:rPr>
        <w:t>9662.81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19.0</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政府性基金预算拨款安排的支出减少</w:t>
      </w:r>
      <w:r>
        <w:rPr>
          <w:rFonts w:hint="eastAsia" w:ascii="仿宋_GB2312" w:hAnsi="仿宋_GB2312" w:eastAsia="仿宋_GB2312" w:cs="仿宋_GB2312"/>
          <w:color w:val="000000"/>
          <w:sz w:val="32"/>
          <w:szCs w:val="32"/>
          <w:highlight w:val="none"/>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1.按支出功能分类，包括教育支出35412.72万元、科学技术支出134.00万元、社会保障和就业支出2367.3</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万元、卫生健康支出464.57万元、住房保障支出2766.49万元。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2.按支出用途分类，包括人员支出23606.12万元，占</w:t>
      </w:r>
      <w:r>
        <w:rPr>
          <w:rFonts w:hint="eastAsia" w:ascii="仿宋_GB2312" w:eastAsia="仿宋_GB2312"/>
          <w:color w:val="000000"/>
          <w:sz w:val="32"/>
          <w:szCs w:val="32"/>
          <w:lang w:val="en-US" w:eastAsia="zh-CN"/>
        </w:rPr>
        <w:t>57.4</w:t>
      </w:r>
      <w:r>
        <w:rPr>
          <w:rFonts w:hint="eastAsia" w:ascii="仿宋_GB2312" w:eastAsia="仿宋_GB2312"/>
          <w:color w:val="000000"/>
          <w:sz w:val="32"/>
          <w:szCs w:val="32"/>
        </w:rPr>
        <w:t>%；日常公用支出2516.92万元，占</w:t>
      </w:r>
      <w:r>
        <w:rPr>
          <w:rFonts w:hint="eastAsia" w:ascii="仿宋_GB2312" w:eastAsia="仿宋_GB2312"/>
          <w:color w:val="000000"/>
          <w:sz w:val="32"/>
          <w:szCs w:val="32"/>
          <w:lang w:val="en-US" w:eastAsia="zh-CN"/>
        </w:rPr>
        <w:t>6.1</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15022.13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36.5</w:t>
      </w:r>
      <w:r>
        <w:rPr>
          <w:rFonts w:hint="eastAsia" w:ascii="仿宋_GB2312" w:eastAsia="仿宋_GB2312"/>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年终结转结余0.00万元。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（四）关于衢州学院(部门)2024年财政拨款收支预算情况的总体说明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highlight w:val="none"/>
        </w:rPr>
        <w:t>衢州学院(部门)2024年财政拨款收支总预算</w:t>
      </w:r>
      <w:r>
        <w:rPr>
          <w:rFonts w:hint="eastAsia" w:ascii="仿宋_GB2312" w:eastAsia="仿宋_GB2312"/>
          <w:color w:val="000000"/>
          <w:sz w:val="32"/>
          <w:szCs w:val="32"/>
          <w:highlight w:val="none"/>
          <w:lang w:val="en-US" w:eastAsia="zh-CN"/>
        </w:rPr>
        <w:t>28420.67</w:t>
      </w:r>
      <w:r>
        <w:rPr>
          <w:rFonts w:hint="eastAsia" w:ascii="仿宋_GB2312" w:eastAsia="仿宋_GB2312"/>
          <w:color w:val="000000"/>
          <w:sz w:val="32"/>
          <w:szCs w:val="32"/>
          <w:highlight w:val="none"/>
        </w:rPr>
        <w:t>万元。收入包括：一般公共预算28420.67万元；</w:t>
      </w:r>
      <w:r>
        <w:rPr>
          <w:rFonts w:hint="eastAsia" w:ascii="仿宋_GB2312" w:eastAsia="仿宋_GB2312"/>
          <w:color w:val="000000"/>
          <w:sz w:val="32"/>
          <w:szCs w:val="32"/>
        </w:rPr>
        <w:t>支出包括：教育支出23088.53万元、科学技术支出134.00万元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社会保障和就业支出2191.65万元、卫生健康支出240.00万元、住房保障支出2766.49万元。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关于衢州学院(部门)2024年一般公共预算拨款情况说明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spacing w:line="520" w:lineRule="exact"/>
        <w:ind w:firstLine="642"/>
        <w:rPr>
          <w:rFonts w:ascii="仿宋_GB2312" w:eastAsia="仿宋_GB2312"/>
          <w:color w:val="000000"/>
          <w:sz w:val="32"/>
          <w:szCs w:val="32"/>
          <w:highlight w:val="none"/>
        </w:rPr>
      </w:pPr>
      <w:r>
        <w:rPr>
          <w:rFonts w:hint="eastAsia" w:ascii="仿宋_GB2312" w:hAnsi="仿宋_GB2312" w:eastAsia="仿宋_GB2312" w:cs="仿宋_GB2312"/>
          <w:color w:val="000000"/>
          <w:sz w:val="32"/>
          <w:szCs w:val="32"/>
          <w:highlight w:val="none"/>
        </w:rPr>
        <w:t>衢州学院(部门)2024年一般公共预算拨款</w:t>
      </w:r>
      <w:r>
        <w:rPr>
          <w:rFonts w:hint="eastAsia" w:ascii="仿宋_GB2312" w:hAnsi="仿宋_GB2312" w:eastAsia="仿宋_GB2312" w:cs="仿宋_GB2312"/>
          <w:bCs/>
          <w:color w:val="000000"/>
          <w:sz w:val="32"/>
          <w:szCs w:val="32"/>
          <w:highlight w:val="none"/>
        </w:rPr>
        <w:t>28420.67</w:t>
      </w:r>
      <w:r>
        <w:rPr>
          <w:rFonts w:hint="eastAsia" w:ascii="仿宋_GB2312" w:hAnsi="仿宋_GB2312" w:eastAsia="仿宋_GB2312" w:cs="仿宋_GB2312"/>
          <w:color w:val="000000"/>
          <w:sz w:val="32"/>
          <w:szCs w:val="32"/>
          <w:highlight w:val="none"/>
        </w:rPr>
        <w:t>万元，比上年执行数减少</w:t>
      </w:r>
      <w:r>
        <w:rPr>
          <w:rFonts w:hint="eastAsia" w:ascii="仿宋_GB2312" w:hAnsi="仿宋_GB2312" w:eastAsia="仿宋_GB2312" w:cs="仿宋_GB2312"/>
          <w:color w:val="000000"/>
          <w:sz w:val="32"/>
          <w:szCs w:val="32"/>
          <w:highlight w:val="none"/>
          <w:lang w:val="en-US" w:eastAsia="zh-CN"/>
        </w:rPr>
        <w:t>6681.42</w:t>
      </w:r>
      <w:r>
        <w:rPr>
          <w:rFonts w:hint="eastAsia" w:ascii="仿宋_GB2312" w:hAnsi="仿宋_GB2312" w:eastAsia="仿宋_GB2312" w:cs="仿宋_GB2312"/>
          <w:color w:val="000000"/>
          <w:sz w:val="32"/>
          <w:szCs w:val="32"/>
          <w:highlight w:val="none"/>
        </w:rPr>
        <w:t>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19.0</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val="en-US" w:eastAsia="zh-CN"/>
        </w:rPr>
        <w:t>市级人才专项经费和部分中央省财政专项经费暂未下达</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教育支出23088.53万元，占81.2%；科学技术支出134.00万元，占0.</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%；社会保障和就业支出2191.65万元，占7.7%；卫生健康支出240.00万元，占0.8%；住房保障支出2766.49万元，占9.7%。</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3.一般公共预算拨款具体使用情况。</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（1）教育支出（类）普通教育（款）高等教育（项）22</w:t>
      </w:r>
      <w:r>
        <w:rPr>
          <w:rFonts w:hint="eastAsia" w:ascii="仿宋_GB2312" w:hAnsi="仿宋_GB2312" w:eastAsia="仿宋_GB2312" w:cs="仿宋_GB2312"/>
          <w:color w:val="000000"/>
          <w:sz w:val="32"/>
          <w:szCs w:val="32"/>
          <w:lang w:val="en-US" w:eastAsia="zh-CN"/>
        </w:rPr>
        <w:t>507.93</w:t>
      </w:r>
      <w:r>
        <w:rPr>
          <w:rFonts w:hint="eastAsia" w:ascii="仿宋_GB2312" w:hAnsi="仿宋_GB2312" w:eastAsia="仿宋_GB2312" w:cs="仿宋_GB2312"/>
          <w:color w:val="000000"/>
          <w:sz w:val="32"/>
          <w:szCs w:val="32"/>
        </w:rPr>
        <w:t>万元，主要用于人员支出、硕士学</w:t>
      </w:r>
      <w:r>
        <w:rPr>
          <w:rFonts w:hint="eastAsia" w:ascii="仿宋_GB2312" w:hAnsi="仿宋_GB2312" w:eastAsia="仿宋_GB2312" w:cs="仿宋_GB2312"/>
          <w:color w:val="000000"/>
          <w:sz w:val="32"/>
          <w:szCs w:val="32"/>
          <w:lang w:val="en-US" w:eastAsia="zh-CN"/>
        </w:rPr>
        <w:t>位</w:t>
      </w:r>
      <w:r>
        <w:rPr>
          <w:rFonts w:hint="eastAsia" w:ascii="仿宋_GB2312" w:hAnsi="仿宋_GB2312" w:eastAsia="仿宋_GB2312" w:cs="仿宋_GB2312"/>
          <w:color w:val="000000"/>
          <w:sz w:val="32"/>
          <w:szCs w:val="32"/>
        </w:rPr>
        <w:t>授予单位创建支出、人才队伍建设支出、学生资助支出、实验室建设支出等。</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（2）教育支出（类）教育费附加安排的支出（款）其他教育费附加安排的支出（项）</w:t>
      </w:r>
      <w:r>
        <w:rPr>
          <w:rFonts w:hint="eastAsia" w:ascii="仿宋_GB2312" w:hAnsi="仿宋_GB2312" w:eastAsia="仿宋_GB2312" w:cs="仿宋_GB2312"/>
          <w:color w:val="000000"/>
          <w:sz w:val="32"/>
          <w:szCs w:val="32"/>
          <w:lang w:val="en-US" w:eastAsia="zh-CN"/>
        </w:rPr>
        <w:t>580.60</w:t>
      </w:r>
      <w:r>
        <w:rPr>
          <w:rFonts w:hint="eastAsia" w:ascii="仿宋_GB2312" w:hAnsi="仿宋_GB2312" w:eastAsia="仿宋_GB2312" w:cs="仿宋_GB2312"/>
          <w:color w:val="000000"/>
          <w:sz w:val="32"/>
          <w:szCs w:val="32"/>
        </w:rPr>
        <w:t>万元，主要用于基础设施维修、师范教育创新工程、</w:t>
      </w:r>
      <w:r>
        <w:rPr>
          <w:rFonts w:hint="eastAsia" w:ascii="仿宋_GB2312" w:hAnsi="仿宋_GB2312" w:eastAsia="仿宋_GB2312" w:cs="仿宋_GB2312"/>
          <w:color w:val="000000"/>
          <w:sz w:val="32"/>
          <w:szCs w:val="32"/>
          <w:lang w:val="en-US" w:eastAsia="zh-CN"/>
        </w:rPr>
        <w:t>丝路学院</w:t>
      </w:r>
      <w:r>
        <w:rPr>
          <w:rFonts w:hint="eastAsia" w:ascii="仿宋_GB2312" w:hAnsi="仿宋_GB2312" w:eastAsia="仿宋_GB2312" w:cs="仿宋_GB2312"/>
          <w:color w:val="000000"/>
          <w:sz w:val="32"/>
          <w:szCs w:val="32"/>
        </w:rPr>
        <w:t>、教学日常运行等项目支出。</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（3）科学技术支出（类）技术研究与开发（款）其他技术研究与开发支出（项）1</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.00万元，主要用于科技发展专项支出。</w:t>
      </w:r>
    </w:p>
    <w:p>
      <w:pPr>
        <w:spacing w:line="52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）科学技术支出（类）社会科学（款）社会科学研究（项）</w:t>
      </w:r>
      <w:r>
        <w:rPr>
          <w:rFonts w:hint="eastAsia" w:ascii="仿宋_GB2312" w:hAnsi="仿宋_GB2312" w:eastAsia="仿宋_GB2312" w:cs="仿宋_GB2312"/>
          <w:color w:val="000000"/>
          <w:sz w:val="32"/>
          <w:szCs w:val="32"/>
          <w:lang w:val="en-US" w:eastAsia="zh-CN"/>
        </w:rPr>
        <w:t>34</w:t>
      </w:r>
      <w:r>
        <w:rPr>
          <w:rFonts w:hint="eastAsia" w:ascii="仿宋_GB2312" w:hAnsi="仿宋_GB2312" w:eastAsia="仿宋_GB2312" w:cs="仿宋_GB2312"/>
          <w:color w:val="000000"/>
          <w:sz w:val="32"/>
          <w:szCs w:val="32"/>
        </w:rPr>
        <w:t>.00万元，主要用于哲学社会科学研究支出。</w:t>
      </w:r>
    </w:p>
    <w:p>
      <w:pPr>
        <w:spacing w:line="52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）社会保障和就业支出（类）行政事业单位养老支出（款）机关事业单位基本养老保险缴费支出（项）12</w:t>
      </w:r>
      <w:r>
        <w:rPr>
          <w:rFonts w:hint="eastAsia" w:ascii="仿宋_GB2312" w:hAnsi="仿宋_GB2312" w:eastAsia="仿宋_GB2312" w:cs="仿宋_GB2312"/>
          <w:color w:val="000000"/>
          <w:sz w:val="32"/>
          <w:szCs w:val="32"/>
          <w:lang w:val="en-US" w:eastAsia="zh-CN"/>
        </w:rPr>
        <w:t>85.00</w:t>
      </w:r>
      <w:r>
        <w:rPr>
          <w:rFonts w:hint="eastAsia" w:ascii="仿宋_GB2312" w:hAnsi="仿宋_GB2312" w:eastAsia="仿宋_GB2312" w:cs="仿宋_GB2312"/>
          <w:color w:val="000000"/>
          <w:sz w:val="32"/>
          <w:szCs w:val="32"/>
        </w:rPr>
        <w:t>万元，主要用于养老保险缴费。</w:t>
      </w:r>
    </w:p>
    <w:p>
      <w:pPr>
        <w:spacing w:line="52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）社会保障和就业支出（类）行政事业单位养老支出（款）机关事业单位职业年金缴费支出（项）63</w:t>
      </w:r>
      <w:r>
        <w:rPr>
          <w:rFonts w:hint="eastAsia" w:ascii="仿宋_GB2312" w:hAnsi="仿宋_GB2312" w:eastAsia="仿宋_GB2312" w:cs="仿宋_GB2312"/>
          <w:color w:val="000000"/>
          <w:sz w:val="32"/>
          <w:szCs w:val="32"/>
          <w:lang w:val="en-US" w:eastAsia="zh-CN"/>
        </w:rPr>
        <w:t>9.65</w:t>
      </w:r>
      <w:r>
        <w:rPr>
          <w:rFonts w:hint="eastAsia" w:ascii="仿宋_GB2312" w:hAnsi="仿宋_GB2312" w:eastAsia="仿宋_GB2312" w:cs="仿宋_GB2312"/>
          <w:color w:val="000000"/>
          <w:sz w:val="32"/>
          <w:szCs w:val="32"/>
        </w:rPr>
        <w:t>万元，主要用于职业年金缴费。</w:t>
      </w:r>
    </w:p>
    <w:p>
      <w:pPr>
        <w:spacing w:line="52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）社会保障和就业支出（类）行政事业单位养老支出（款）其他行政事业单位养老支出（项）</w:t>
      </w:r>
      <w:r>
        <w:rPr>
          <w:rFonts w:hint="eastAsia" w:ascii="仿宋_GB2312" w:hAnsi="仿宋_GB2312" w:eastAsia="仿宋_GB2312" w:cs="仿宋_GB2312"/>
          <w:color w:val="000000"/>
          <w:sz w:val="32"/>
          <w:szCs w:val="32"/>
          <w:lang w:val="en-US" w:eastAsia="zh-CN"/>
        </w:rPr>
        <w:t>267.0</w:t>
      </w:r>
      <w:r>
        <w:rPr>
          <w:rFonts w:hint="eastAsia" w:ascii="仿宋_GB2312" w:hAnsi="仿宋_GB2312" w:eastAsia="仿宋_GB2312" w:cs="仿宋_GB2312"/>
          <w:color w:val="000000"/>
          <w:sz w:val="32"/>
          <w:szCs w:val="32"/>
        </w:rPr>
        <w:t>0万元，主要用于离退休人员相关支出。</w:t>
      </w:r>
    </w:p>
    <w:p>
      <w:pPr>
        <w:pStyle w:val="2"/>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cs="仿宋_GB2312"/>
          <w:color w:val="000000"/>
          <w:sz w:val="32"/>
          <w:szCs w:val="32"/>
          <w:lang w:val="en-US" w:eastAsia="zh-CN"/>
        </w:rPr>
        <w:t>8</w:t>
      </w:r>
      <w:r>
        <w:rPr>
          <w:rFonts w:hint="eastAsia" w:ascii="仿宋_GB2312" w:hAnsi="仿宋_GB2312" w:eastAsia="仿宋_GB2312" w:cs="仿宋_GB2312"/>
          <w:color w:val="000000"/>
          <w:sz w:val="32"/>
          <w:szCs w:val="32"/>
        </w:rPr>
        <w:t>）卫生健康支出（类）行政事业单位医疗（款）其他行政事业单位医疗支出（项）</w:t>
      </w:r>
      <w:r>
        <w:rPr>
          <w:rFonts w:hint="eastAsia" w:cs="仿宋_GB2312"/>
          <w:color w:val="000000"/>
          <w:sz w:val="32"/>
          <w:szCs w:val="32"/>
          <w:lang w:val="en-US" w:eastAsia="zh-CN"/>
        </w:rPr>
        <w:t>240.0</w:t>
      </w:r>
      <w:r>
        <w:rPr>
          <w:rFonts w:hint="eastAsia" w:ascii="仿宋_GB2312" w:hAnsi="仿宋_GB2312" w:eastAsia="仿宋_GB2312" w:cs="仿宋_GB2312"/>
          <w:color w:val="000000"/>
          <w:sz w:val="32"/>
          <w:szCs w:val="32"/>
        </w:rPr>
        <w:t>0万元，主要用于公务员医疗补助缴费</w:t>
      </w:r>
      <w:r>
        <w:rPr>
          <w:rFonts w:hint="eastAsia" w:cs="仿宋_GB2312"/>
          <w:color w:val="000000"/>
          <w:sz w:val="32"/>
          <w:szCs w:val="32"/>
          <w:lang w:val="en-US" w:eastAsia="zh-CN"/>
        </w:rPr>
        <w:t>支出</w:t>
      </w:r>
      <w:r>
        <w:rPr>
          <w:rFonts w:hint="eastAsia" w:ascii="仿宋_GB2312" w:hAnsi="仿宋_GB2312" w:eastAsia="仿宋_GB2312" w:cs="仿宋_GB2312"/>
          <w:color w:val="000000"/>
          <w:sz w:val="32"/>
          <w:szCs w:val="32"/>
        </w:rPr>
        <w:t>。</w:t>
      </w:r>
    </w:p>
    <w:p>
      <w:pPr>
        <w:pStyle w:val="2"/>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cs="仿宋_GB2312"/>
          <w:color w:val="000000"/>
          <w:sz w:val="32"/>
          <w:szCs w:val="32"/>
          <w:lang w:val="en-US" w:eastAsia="zh-CN"/>
        </w:rPr>
        <w:t>9</w:t>
      </w:r>
      <w:r>
        <w:rPr>
          <w:rFonts w:hint="eastAsia" w:ascii="仿宋_GB2312" w:hAnsi="仿宋_GB2312" w:eastAsia="仿宋_GB2312" w:cs="仿宋_GB2312"/>
          <w:color w:val="000000"/>
          <w:sz w:val="32"/>
          <w:szCs w:val="32"/>
        </w:rPr>
        <w:t>）住房保障支出（类）住房改革支出（款）住房公积金（项）2</w:t>
      </w:r>
      <w:r>
        <w:rPr>
          <w:rFonts w:hint="eastAsia" w:cs="仿宋_GB2312"/>
          <w:color w:val="000000"/>
          <w:sz w:val="32"/>
          <w:szCs w:val="32"/>
          <w:lang w:val="en-US" w:eastAsia="zh-CN"/>
        </w:rPr>
        <w:t>766.49</w:t>
      </w:r>
      <w:r>
        <w:rPr>
          <w:rFonts w:hint="eastAsia" w:ascii="仿宋_GB2312" w:hAnsi="仿宋_GB2312" w:eastAsia="仿宋_GB2312" w:cs="仿宋_GB2312"/>
          <w:color w:val="000000"/>
          <w:sz w:val="32"/>
          <w:szCs w:val="32"/>
        </w:rPr>
        <w:t>万元，主要用于住房公积金支出。</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（六）关于衢州学院(部门)2024年一般公共预算基本支出情况说明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衢州学院(部门)2024年一般公共预算基本支出22577.34万元，其中：</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人员经费21764.73万元，主要包括：基本工资、绩效工资、机关事业单位基本养老保险缴费、职业年金缴费、职工基本医疗保险缴费、公务员医疗补助缴费、其他社会保障缴费、住房公积金、医疗费、离休费、退职（役）费、生活补助、医疗费补助、其他对个人和家庭的补助；</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公用经费812.61万元，主要包括：福利费。</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（七）关于衢州学院(部门)2024年政府性基金预算支出情况说明</w:t>
      </w:r>
    </w:p>
    <w:p>
      <w:pPr>
        <w:spacing w:line="520" w:lineRule="exact"/>
        <w:ind w:firstLine="642"/>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衢州学院</w:t>
      </w:r>
      <w:r>
        <w:rPr>
          <w:rFonts w:hint="eastAsia" w:ascii="仿宋_GB2312" w:hAnsi="Times New Roman" w:eastAsia="仿宋_GB2312" w:cs="Times New Roman"/>
          <w:color w:val="000000"/>
          <w:sz w:val="32"/>
          <w:szCs w:val="32"/>
        </w:rPr>
        <w:t>2024年没有使用政府性基金预算拨款安排的</w:t>
      </w:r>
      <w:r>
        <w:rPr>
          <w:rFonts w:hint="eastAsia" w:ascii="仿宋_GB2312" w:eastAsia="仿宋_GB2312" w:cs="Times New Roman"/>
          <w:color w:val="000000"/>
          <w:sz w:val="32"/>
          <w:szCs w:val="32"/>
          <w:lang w:eastAsia="zh-CN"/>
        </w:rPr>
        <w:t>支</w:t>
      </w:r>
      <w:r>
        <w:rPr>
          <w:rFonts w:hint="eastAsia" w:ascii="仿宋_GB2312" w:hAnsi="Times New Roman" w:eastAsia="仿宋_GB2312" w:cs="Times New Roman"/>
          <w:color w:val="000000"/>
          <w:sz w:val="32"/>
          <w:szCs w:val="32"/>
        </w:rPr>
        <w:t>出，比2023年执行数减少</w:t>
      </w:r>
      <w:r>
        <w:rPr>
          <w:rFonts w:hint="eastAsia" w:ascii="仿宋_GB2312" w:hAnsi="Times New Roman" w:eastAsia="仿宋_GB2312" w:cs="Times New Roman"/>
          <w:color w:val="000000"/>
          <w:sz w:val="32"/>
          <w:szCs w:val="32"/>
          <w:lang w:val="en-US" w:eastAsia="zh-CN"/>
        </w:rPr>
        <w:t>3497.44</w:t>
      </w:r>
      <w:r>
        <w:rPr>
          <w:rFonts w:hint="eastAsia" w:ascii="仿宋_GB2312" w:hAnsi="Times New Roman" w:eastAsia="仿宋_GB2312" w:cs="Times New Roman"/>
          <w:color w:val="000000"/>
          <w:sz w:val="32"/>
          <w:szCs w:val="32"/>
        </w:rPr>
        <w:t>万元。</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（八）关于</w:t>
      </w:r>
      <w:r>
        <w:rPr>
          <w:rFonts w:ascii="楷体_GB2312" w:hAnsi="楷体_GB2312" w:eastAsia="楷体_GB2312" w:cs="楷体_GB2312"/>
          <w:bCs/>
          <w:color w:val="000000"/>
          <w:sz w:val="32"/>
          <w:szCs w:val="32"/>
          <w:highlight w:val="none"/>
        </w:rPr>
        <w:t>衢州学院(部门)2024</w:t>
      </w:r>
      <w:r>
        <w:rPr>
          <w:rFonts w:hint="eastAsia" w:ascii="楷体_GB2312" w:hAnsi="楷体_GB2312" w:eastAsia="楷体_GB2312" w:cs="楷体_GB2312"/>
          <w:bCs/>
          <w:color w:val="000000"/>
          <w:sz w:val="32"/>
          <w:szCs w:val="32"/>
          <w:highlight w:val="none"/>
        </w:rPr>
        <w:t>年国有资本经营预算支出情况说明</w:t>
      </w:r>
    </w:p>
    <w:p>
      <w:pPr>
        <w:spacing w:line="520" w:lineRule="exact"/>
        <w:ind w:firstLine="627" w:firstLineChars="196"/>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衢州学院2024年没有使用国有资本经营预算拨款安排的支出，与上年持平。</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（九）关于衢州学院(部门)2024年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衢州学院(部门)2024年“三公”经费预算数为0.00万元，</w:t>
      </w:r>
      <w:r>
        <w:rPr>
          <w:rFonts w:hint="eastAsia" w:ascii="仿宋_GB2312" w:hAnsi="仿宋_GB2312" w:eastAsia="仿宋_GB2312"/>
          <w:sz w:val="32"/>
          <w:shd w:val="clear" w:color="auto" w:fill="FFFFFF"/>
        </w:rPr>
        <w:t>与上年</w:t>
      </w:r>
      <w:r>
        <w:rPr>
          <w:rFonts w:hint="eastAsia" w:ascii="仿宋_GB2312" w:hAnsi="仿宋_GB2312" w:eastAsia="仿宋_GB2312"/>
          <w:sz w:val="32"/>
        </w:rPr>
        <w:t>预算</w:t>
      </w:r>
      <w:r>
        <w:rPr>
          <w:rFonts w:hint="eastAsia" w:ascii="仿宋_GB2312" w:hAnsi="仿宋_GB2312" w:eastAsia="仿宋_GB2312"/>
          <w:sz w:val="32"/>
          <w:shd w:val="clear" w:color="auto" w:fill="FFFFFF"/>
        </w:rPr>
        <w:t>数持平</w:t>
      </w:r>
      <w:r>
        <w:rPr>
          <w:rFonts w:hint="eastAsia" w:ascii="仿宋_GB2312" w:hAnsi="仿宋_GB2312" w:eastAsia="仿宋_GB2312"/>
          <w:sz w:val="32"/>
        </w:rPr>
        <w:t>，具体如下：</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根据因公出国计划和实际工作需要，2024年安排因公出国（境）费用预算0.00万元，与上年预算数持平。主要原因是本年与上年均未安排预算。</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2.公务接待费：2024年安排公务接待费预算0.00万元，与上年预算数持平。主要原因是本年与上年均未安排预算。</w:t>
      </w:r>
    </w:p>
    <w:p>
      <w:pPr>
        <w:pStyle w:val="14"/>
        <w:spacing w:line="520" w:lineRule="exact"/>
        <w:ind w:firstLine="640" w:firstLineChars="200"/>
        <w:rPr>
          <w:rFonts w:ascii="仿宋_GB2312" w:eastAsia="仿宋_GB2312"/>
          <w:b/>
          <w:bCs/>
          <w:sz w:val="32"/>
          <w:szCs w:val="32"/>
          <w:highlight w:val="none"/>
        </w:rPr>
      </w:pPr>
      <w:r>
        <w:rPr>
          <w:rFonts w:hint="eastAsia" w:ascii="仿宋_GB2312" w:eastAsia="仿宋_GB2312"/>
          <w:sz w:val="32"/>
          <w:szCs w:val="32"/>
        </w:rPr>
        <w:t>3.公务用车购置及运行维护费：2024年安排公务用车购置及运行维护费预算0.0</w:t>
      </w:r>
      <w:r>
        <w:rPr>
          <w:rFonts w:hint="eastAsia" w:ascii="仿宋_GB2312" w:eastAsia="仿宋_GB2312"/>
          <w:sz w:val="32"/>
          <w:szCs w:val="32"/>
          <w:highlight w:val="none"/>
        </w:rPr>
        <w:t>0万元，与上年预算数持平。其中，公务用车购置支出0.00万元（含购置税等附加费用），与上年</w:t>
      </w:r>
      <w:r>
        <w:rPr>
          <w:rFonts w:hint="eastAsia" w:ascii="仿宋_GB2312" w:hAnsi="仿宋_GB2312" w:eastAsia="仿宋_GB2312"/>
          <w:sz w:val="32"/>
        </w:rPr>
        <w:t>预算</w:t>
      </w:r>
      <w:r>
        <w:rPr>
          <w:rFonts w:hint="eastAsia" w:ascii="仿宋_GB2312" w:eastAsia="仿宋_GB2312"/>
          <w:sz w:val="32"/>
          <w:szCs w:val="32"/>
          <w:highlight w:val="none"/>
        </w:rPr>
        <w:t>数持平，主要原因是本年与上年均未安排预算；公务用车运行维护费支出0.00万元，与上年预算数持平，主要原因是本年与上年均未安排预算。</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numPr>
          <w:ilvl w:val="0"/>
          <w:numId w:val="0"/>
        </w:numPr>
        <w:spacing w:line="52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政府采购情况。</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2024年衢州学院(部门)</w:t>
      </w:r>
      <w:r>
        <w:rPr>
          <w:rFonts w:hint="eastAsia" w:ascii="仿宋_GB2312" w:eastAsia="仿宋_GB2312"/>
          <w:color w:val="000000"/>
          <w:sz w:val="32"/>
          <w:szCs w:val="32"/>
        </w:rPr>
        <w:t>各单位政府采购预算总额</w:t>
      </w:r>
      <w:r>
        <w:rPr>
          <w:rFonts w:hint="eastAsia" w:ascii="仿宋_GB2312" w:eastAsia="仿宋_GB2312"/>
          <w:color w:val="000000"/>
          <w:sz w:val="32"/>
          <w:szCs w:val="32"/>
          <w:lang w:val="en-US" w:eastAsia="zh-CN"/>
        </w:rPr>
        <w:t>3162.3</w:t>
      </w:r>
      <w:r>
        <w:rPr>
          <w:rFonts w:ascii="仿宋_GB2312" w:eastAsia="仿宋_GB2312"/>
          <w:color w:val="000000"/>
          <w:sz w:val="32"/>
          <w:szCs w:val="32"/>
        </w:rPr>
        <w:t>3</w:t>
      </w:r>
      <w:r>
        <w:rPr>
          <w:rFonts w:hint="eastAsia" w:ascii="仿宋_GB2312" w:eastAsia="仿宋_GB2312"/>
          <w:color w:val="000000"/>
          <w:sz w:val="32"/>
          <w:szCs w:val="32"/>
        </w:rPr>
        <w:t>万元，其中：政府采购货物预算</w:t>
      </w:r>
      <w:r>
        <w:rPr>
          <w:rFonts w:hint="eastAsia" w:ascii="仿宋_GB2312" w:eastAsia="仿宋_GB2312"/>
          <w:color w:val="000000"/>
          <w:sz w:val="32"/>
          <w:szCs w:val="32"/>
          <w:lang w:val="en-US" w:eastAsia="zh-CN"/>
        </w:rPr>
        <w:t>1358</w:t>
      </w:r>
      <w:r>
        <w:rPr>
          <w:rFonts w:hint="eastAsia" w:ascii="仿宋_GB2312" w:eastAsia="仿宋_GB2312"/>
          <w:color w:val="000000"/>
          <w:sz w:val="32"/>
          <w:szCs w:val="32"/>
        </w:rPr>
        <w:t>.83万元、政府采购工程预算0.00万元、政府采购服务预算</w:t>
      </w:r>
      <w:r>
        <w:rPr>
          <w:rFonts w:ascii="仿宋_GB2312" w:eastAsia="仿宋_GB2312"/>
          <w:color w:val="000000"/>
          <w:sz w:val="32"/>
          <w:szCs w:val="32"/>
        </w:rPr>
        <w:t>18</w:t>
      </w:r>
      <w:r>
        <w:rPr>
          <w:rFonts w:hint="eastAsia" w:ascii="仿宋_GB2312" w:eastAsia="仿宋_GB2312"/>
          <w:color w:val="000000"/>
          <w:sz w:val="32"/>
          <w:szCs w:val="32"/>
          <w:lang w:val="en-US" w:eastAsia="zh-CN"/>
        </w:rPr>
        <w:t>03</w:t>
      </w:r>
      <w:r>
        <w:rPr>
          <w:rFonts w:ascii="仿宋_GB2312" w:eastAsia="仿宋_GB2312"/>
          <w:color w:val="000000"/>
          <w:sz w:val="32"/>
          <w:szCs w:val="32"/>
        </w:rPr>
        <w:t>.</w:t>
      </w:r>
      <w:r>
        <w:rPr>
          <w:rFonts w:hint="eastAsia" w:ascii="仿宋_GB2312" w:eastAsia="仿宋_GB2312"/>
          <w:color w:val="000000"/>
          <w:sz w:val="32"/>
          <w:szCs w:val="32"/>
          <w:lang w:val="en-US" w:eastAsia="zh-CN"/>
        </w:rPr>
        <w:t>5</w:t>
      </w:r>
      <w:r>
        <w:rPr>
          <w:rFonts w:ascii="仿宋_GB2312" w:eastAsia="仿宋_GB2312"/>
          <w:color w:val="000000"/>
          <w:sz w:val="32"/>
          <w:szCs w:val="32"/>
        </w:rPr>
        <w:t>0</w:t>
      </w:r>
      <w:r>
        <w:rPr>
          <w:rFonts w:hint="eastAsia" w:ascii="仿宋_GB2312" w:eastAsia="仿宋_GB2312"/>
          <w:color w:val="000000"/>
          <w:sz w:val="32"/>
          <w:szCs w:val="32"/>
        </w:rPr>
        <w:t>万元。</w:t>
      </w:r>
    </w:p>
    <w:p>
      <w:pPr>
        <w:pStyle w:val="14"/>
        <w:spacing w:line="520" w:lineRule="exact"/>
        <w:ind w:firstLine="642"/>
        <w:rPr>
          <w:rFonts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截至2023年12月31日，衢州学院(部门)所属各预算单位共有车辆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辆，其中，应急保障用车</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辆、老干部服务用车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辆、行政执法专用车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台（套）。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2024年部门预算未安排购置车辆、单位价值50万元以上通用设备及单位价值100万元以上专用设备</w:t>
      </w:r>
      <w:r>
        <w:rPr>
          <w:rFonts w:hint="eastAsia" w:ascii="仿宋_GB2312" w:hAnsi="仿宋_GB2312" w:eastAsia="仿宋_GB2312" w:cs="仿宋_GB2312"/>
          <w:sz w:val="32"/>
          <w:szCs w:val="32"/>
        </w:rPr>
        <w:t>。</w:t>
      </w:r>
    </w:p>
    <w:p>
      <w:pPr>
        <w:pStyle w:val="14"/>
        <w:spacing w:line="520" w:lineRule="exact"/>
        <w:rPr>
          <w:rFonts w:ascii="仿宋_GB2312" w:eastAsia="仿宋_GB2312"/>
          <w:b/>
          <w:bCs/>
          <w:sz w:val="32"/>
          <w:szCs w:val="32"/>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3</w:t>
      </w:r>
      <w:r>
        <w:rPr>
          <w:rFonts w:hint="eastAsia" w:ascii="仿宋_GB2312" w:eastAsia="仿宋_GB2312"/>
          <w:b/>
          <w:bCs/>
          <w:sz w:val="32"/>
          <w:szCs w:val="32"/>
        </w:rPr>
        <w:t>.预算绩效情况说明。</w:t>
      </w:r>
    </w:p>
    <w:p>
      <w:pPr>
        <w:ind w:firstLine="640" w:firstLineChars="200"/>
      </w:pPr>
      <w:r>
        <w:rPr>
          <w:rFonts w:ascii="仿宋_GB2312" w:hAnsi="仿宋_GB2312" w:eastAsia="仿宋_GB2312" w:cs="仿宋_GB2312"/>
          <w:sz w:val="32"/>
          <w:szCs w:val="32"/>
        </w:rPr>
        <w:t>2024年衢州学院(部门)其他运转类项目和特定目标类项目均实行绩效目标管理，共计4个一级项目，涉及当年资金</w:t>
      </w:r>
      <w:r>
        <w:rPr>
          <w:rFonts w:hint="eastAsia" w:ascii="仿宋_GB2312" w:hAnsi="仿宋_GB2312" w:eastAsia="仿宋_GB2312" w:cs="仿宋_GB2312"/>
          <w:sz w:val="32"/>
          <w:szCs w:val="32"/>
          <w:lang w:val="en-US" w:eastAsia="zh-CN"/>
        </w:rPr>
        <w:t>15022.13</w:t>
      </w:r>
      <w:r>
        <w:rPr>
          <w:rFonts w:ascii="仿宋_GB2312" w:hAnsi="仿宋_GB2312" w:eastAsia="仿宋_GB2312" w:cs="仿宋_GB2312"/>
          <w:sz w:val="32"/>
          <w:szCs w:val="32"/>
        </w:rPr>
        <w:t>万元。同时，将按照相关制度规定开展绩效自评。一级项目绩效目标表，详见“部门项目支出绩效表”</w:t>
      </w:r>
      <w:r>
        <w:rPr>
          <w:rFonts w:hint="eastAsia" w:ascii="仿宋_GB2312" w:hAnsi="仿宋_GB2312" w:eastAsia="仿宋_GB2312" w:cs="仿宋_GB2312"/>
          <w:sz w:val="32"/>
          <w:szCs w:val="32"/>
        </w:rPr>
        <w:t>。</w:t>
      </w:r>
    </w:p>
    <w:p>
      <w:pPr>
        <w:pStyle w:val="14"/>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2.财政专户管理资金:教育收费作为本部门的事业收入，纳入财政专户管理的资金。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3.事业收入：事业单位开展专业业务活动及辅助活动所取得的收入，不含财政专户管理资金收入。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预算”“国有资本经营预算”“财政专户管理资金”“事业收入”“事业单位经营收入”“上级补助收入”和“附属单位上缴收入”等之外取得的各项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教育支出（类）普通教育（款）高等教育（项）：指各部门举办的普通本科（包括研究生）教育支出。政府各部门对社会组织等举办的普通本科高等院校（包括研究生）的资助，如捐赠、补贴等，也在本科目中反映。</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教育支出（类）教育费附加安排的支出（款）其他教育费附加安排的支出（项）：指除农村中小学校舍建设、农村中小学教学设施、城市中小学校舍建设、城市中小学教学设施、中等职业学校教学设施项目以外的教育费附加支出。</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13.科学技术支出（类）技术研究与开发（款）其他技术研究与开发支出（项）：指除机构运行、科技成果转化与扩散、共性技术研究与开发项目以外其他用于技术研究与开发方面的支出。</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14.科学技术支出（类）社会科学（款）社会科学研究（项）：指除社科基金支出外的社会科学研究支出。</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15.社会保障和就业支出（类）行政事业单位养老支出（款）机关事业单位基本养老保险缴费支出（项）：指机关事业单位实施养老保险制度由单位缴纳的基本养老保险费支出。</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16.社会保障和就业支出（类）行政事业单位养老支出（款）机关事业单位职业年金缴费支出（项）：指机关事业单位实施养老保险制度由单位实际缴纳的职业年金支出。  </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社会保障和就业支出（类）行政事业单位养老支出（款）其他行政事业单位养老支出（项）：指除行政单位离退休、事业单位离退休、离退休人员管理机构、机关事业单位基本养老保险缴费支出、机关事业单位职业年金缴费支出、对机关事业单位基本养老保险基金的补助、对机关事业单位职业年金的补助项目以外其他用于行政事业单位养老方面的支出。</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18.卫生健康支出（类）行政事业单位医疗（款）其他行政事业单位医疗支出（项）：指除行政单位医疗、事业单位医疗、公务员医疗补助项目以外的其他用于行政事业单位医疗方面的支出。</w:t>
      </w:r>
    </w:p>
    <w:p>
      <w:pPr>
        <w:keepNext w:val="0"/>
        <w:keepLines w:val="0"/>
        <w:pageBreakBefore w:val="0"/>
        <w:kinsoku/>
        <w:wordWrap/>
        <w:overflowPunct/>
        <w:topLinePunct w:val="0"/>
        <w:bidi w:val="0"/>
        <w:snapToGrid/>
        <w:spacing w:beforeLines="0" w:afterLines="0" w:line="600" w:lineRule="exact"/>
        <w:ind w:firstLine="640" w:firstLineChars="200"/>
        <w:textAlignment w:val="auto"/>
      </w:pPr>
      <w:r>
        <w:rPr>
          <w:rFonts w:hint="eastAsia" w:ascii="仿宋_GB2312" w:hAnsi="仿宋_GB2312" w:eastAsia="仿宋_GB2312" w:cs="仿宋_GB2312"/>
          <w:color w:val="auto"/>
          <w:sz w:val="32"/>
          <w:szCs w:val="32"/>
          <w:highlight w:val="none"/>
          <w:lang w:val="en-US" w:eastAsia="zh-CN"/>
        </w:rPr>
        <w:t>19.住房保障支出（类）住房改革支出（款）住房公积金（项）：指行政事业单位按人力资源和社会保障部、财政部规定的基本工资和津贴补贴以及规定比例为职工缴纳的住房公积金。</w:t>
      </w:r>
    </w:p>
    <w:sectPr>
      <w:footerReference r:id="rId3" w:type="default"/>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hhNGRkOTliODA0Yzg3MzU0MTA3YTg1ZWI2MTJlZWQifQ=="/>
  </w:docVars>
  <w:rsids>
    <w:rsidRoot w:val="0018453C"/>
    <w:rsid w:val="0002642F"/>
    <w:rsid w:val="00037FBA"/>
    <w:rsid w:val="00084C3B"/>
    <w:rsid w:val="000F6704"/>
    <w:rsid w:val="0014553D"/>
    <w:rsid w:val="00151805"/>
    <w:rsid w:val="0018453C"/>
    <w:rsid w:val="00225BBF"/>
    <w:rsid w:val="00233C98"/>
    <w:rsid w:val="0025199F"/>
    <w:rsid w:val="00262069"/>
    <w:rsid w:val="00262BFB"/>
    <w:rsid w:val="0029677C"/>
    <w:rsid w:val="002D46DD"/>
    <w:rsid w:val="002E190E"/>
    <w:rsid w:val="00312421"/>
    <w:rsid w:val="0034320B"/>
    <w:rsid w:val="0035041B"/>
    <w:rsid w:val="003533AA"/>
    <w:rsid w:val="00372A55"/>
    <w:rsid w:val="0039638D"/>
    <w:rsid w:val="003A54FF"/>
    <w:rsid w:val="003C7BA3"/>
    <w:rsid w:val="004B141E"/>
    <w:rsid w:val="004B1C55"/>
    <w:rsid w:val="004C1A7E"/>
    <w:rsid w:val="004F65D0"/>
    <w:rsid w:val="004F6D96"/>
    <w:rsid w:val="0054517F"/>
    <w:rsid w:val="0055355B"/>
    <w:rsid w:val="00576237"/>
    <w:rsid w:val="005C2E6B"/>
    <w:rsid w:val="005E47B3"/>
    <w:rsid w:val="005E7D52"/>
    <w:rsid w:val="00655F61"/>
    <w:rsid w:val="00667EBC"/>
    <w:rsid w:val="006C39E2"/>
    <w:rsid w:val="006D5442"/>
    <w:rsid w:val="006D7FE3"/>
    <w:rsid w:val="006E0740"/>
    <w:rsid w:val="006E085B"/>
    <w:rsid w:val="006F455E"/>
    <w:rsid w:val="007072D9"/>
    <w:rsid w:val="0073245A"/>
    <w:rsid w:val="007715EF"/>
    <w:rsid w:val="007A0C65"/>
    <w:rsid w:val="007B431F"/>
    <w:rsid w:val="007E4CC3"/>
    <w:rsid w:val="007E5EFB"/>
    <w:rsid w:val="00801E01"/>
    <w:rsid w:val="00834DDF"/>
    <w:rsid w:val="00850DC9"/>
    <w:rsid w:val="00882C0A"/>
    <w:rsid w:val="0089440C"/>
    <w:rsid w:val="00916ABC"/>
    <w:rsid w:val="009415A1"/>
    <w:rsid w:val="009427F2"/>
    <w:rsid w:val="00943339"/>
    <w:rsid w:val="009444AA"/>
    <w:rsid w:val="009A7459"/>
    <w:rsid w:val="009B71E7"/>
    <w:rsid w:val="009C4B77"/>
    <w:rsid w:val="00A76362"/>
    <w:rsid w:val="00A86842"/>
    <w:rsid w:val="00AB2741"/>
    <w:rsid w:val="00AC7742"/>
    <w:rsid w:val="00B109C2"/>
    <w:rsid w:val="00B11C03"/>
    <w:rsid w:val="00B7532A"/>
    <w:rsid w:val="00BA6311"/>
    <w:rsid w:val="00C35F38"/>
    <w:rsid w:val="00C47BB8"/>
    <w:rsid w:val="00C52D1F"/>
    <w:rsid w:val="00C75827"/>
    <w:rsid w:val="00CA4684"/>
    <w:rsid w:val="00CE3F52"/>
    <w:rsid w:val="00D81B35"/>
    <w:rsid w:val="00DA6F5B"/>
    <w:rsid w:val="00DA7F84"/>
    <w:rsid w:val="00E16E78"/>
    <w:rsid w:val="00E20FB4"/>
    <w:rsid w:val="00E37BE0"/>
    <w:rsid w:val="00E40834"/>
    <w:rsid w:val="00E429D8"/>
    <w:rsid w:val="00E44C58"/>
    <w:rsid w:val="00E72378"/>
    <w:rsid w:val="00E925CD"/>
    <w:rsid w:val="00F23B56"/>
    <w:rsid w:val="00F56A05"/>
    <w:rsid w:val="00F6374C"/>
    <w:rsid w:val="00F7116F"/>
    <w:rsid w:val="00F73C07"/>
    <w:rsid w:val="00F82550"/>
    <w:rsid w:val="00FB1AD5"/>
    <w:rsid w:val="01405C62"/>
    <w:rsid w:val="015C0D77"/>
    <w:rsid w:val="01F263DB"/>
    <w:rsid w:val="021B6A91"/>
    <w:rsid w:val="024C6702"/>
    <w:rsid w:val="02632622"/>
    <w:rsid w:val="026505B4"/>
    <w:rsid w:val="028630A1"/>
    <w:rsid w:val="03AA3E3B"/>
    <w:rsid w:val="03EA5C50"/>
    <w:rsid w:val="05054F3D"/>
    <w:rsid w:val="05227854"/>
    <w:rsid w:val="0538011A"/>
    <w:rsid w:val="054D0FA3"/>
    <w:rsid w:val="05F46152"/>
    <w:rsid w:val="05F835B0"/>
    <w:rsid w:val="063B27DE"/>
    <w:rsid w:val="065E25EC"/>
    <w:rsid w:val="06835E42"/>
    <w:rsid w:val="06FC7ED4"/>
    <w:rsid w:val="07623DA7"/>
    <w:rsid w:val="077B34F3"/>
    <w:rsid w:val="07907D66"/>
    <w:rsid w:val="081119C7"/>
    <w:rsid w:val="081A0728"/>
    <w:rsid w:val="08DE4DFD"/>
    <w:rsid w:val="08FE14ED"/>
    <w:rsid w:val="09411E79"/>
    <w:rsid w:val="09C31824"/>
    <w:rsid w:val="0A1D1E06"/>
    <w:rsid w:val="0A4C7CCD"/>
    <w:rsid w:val="0B486D9D"/>
    <w:rsid w:val="0BD448F3"/>
    <w:rsid w:val="0C7B7749"/>
    <w:rsid w:val="0CE2397A"/>
    <w:rsid w:val="0CEE5818"/>
    <w:rsid w:val="0DDF3EA9"/>
    <w:rsid w:val="0F0A0BC6"/>
    <w:rsid w:val="0F3E23E2"/>
    <w:rsid w:val="0F5C4EB1"/>
    <w:rsid w:val="0F760C96"/>
    <w:rsid w:val="0FFC24E5"/>
    <w:rsid w:val="1085571C"/>
    <w:rsid w:val="11387C8E"/>
    <w:rsid w:val="119C1C51"/>
    <w:rsid w:val="124E1058"/>
    <w:rsid w:val="12970A77"/>
    <w:rsid w:val="12B72665"/>
    <w:rsid w:val="12D300E7"/>
    <w:rsid w:val="13725DAD"/>
    <w:rsid w:val="13811EEE"/>
    <w:rsid w:val="14EF3497"/>
    <w:rsid w:val="153C45B3"/>
    <w:rsid w:val="15420797"/>
    <w:rsid w:val="157947AC"/>
    <w:rsid w:val="15DB09EF"/>
    <w:rsid w:val="1650535C"/>
    <w:rsid w:val="165642D9"/>
    <w:rsid w:val="165C0979"/>
    <w:rsid w:val="16F374C9"/>
    <w:rsid w:val="17EC7FC1"/>
    <w:rsid w:val="17F81734"/>
    <w:rsid w:val="180D7344"/>
    <w:rsid w:val="18D04290"/>
    <w:rsid w:val="18EF3804"/>
    <w:rsid w:val="195C3A7E"/>
    <w:rsid w:val="1A14325B"/>
    <w:rsid w:val="1A2375F0"/>
    <w:rsid w:val="1A9C6906"/>
    <w:rsid w:val="1AC0275A"/>
    <w:rsid w:val="1B1D1342"/>
    <w:rsid w:val="1B2A6629"/>
    <w:rsid w:val="1C103D2D"/>
    <w:rsid w:val="1C1965EC"/>
    <w:rsid w:val="1C652CAB"/>
    <w:rsid w:val="1C7701B9"/>
    <w:rsid w:val="1D99665F"/>
    <w:rsid w:val="1E2850F6"/>
    <w:rsid w:val="1E5122F2"/>
    <w:rsid w:val="1E621D9B"/>
    <w:rsid w:val="1E945AB3"/>
    <w:rsid w:val="1EBB0876"/>
    <w:rsid w:val="1EFB5835"/>
    <w:rsid w:val="2008260C"/>
    <w:rsid w:val="205247F6"/>
    <w:rsid w:val="20C21B5F"/>
    <w:rsid w:val="20D018DC"/>
    <w:rsid w:val="20D8491F"/>
    <w:rsid w:val="217D79B3"/>
    <w:rsid w:val="219B3B12"/>
    <w:rsid w:val="21F8300E"/>
    <w:rsid w:val="22A22428"/>
    <w:rsid w:val="22A5210D"/>
    <w:rsid w:val="22D4227E"/>
    <w:rsid w:val="22FA27EC"/>
    <w:rsid w:val="230477A4"/>
    <w:rsid w:val="234550B7"/>
    <w:rsid w:val="23565231"/>
    <w:rsid w:val="2384696C"/>
    <w:rsid w:val="23B968AE"/>
    <w:rsid w:val="240772FF"/>
    <w:rsid w:val="24183DF0"/>
    <w:rsid w:val="247778DD"/>
    <w:rsid w:val="247A77A8"/>
    <w:rsid w:val="2492204D"/>
    <w:rsid w:val="24D6630F"/>
    <w:rsid w:val="24F84929"/>
    <w:rsid w:val="257B506C"/>
    <w:rsid w:val="25DE1005"/>
    <w:rsid w:val="25F31947"/>
    <w:rsid w:val="260A1E20"/>
    <w:rsid w:val="26816946"/>
    <w:rsid w:val="26DB7398"/>
    <w:rsid w:val="2705728B"/>
    <w:rsid w:val="27417BF8"/>
    <w:rsid w:val="27693B45"/>
    <w:rsid w:val="283A129B"/>
    <w:rsid w:val="294F0255"/>
    <w:rsid w:val="29DF16A7"/>
    <w:rsid w:val="29F74F67"/>
    <w:rsid w:val="2A484907"/>
    <w:rsid w:val="2B755902"/>
    <w:rsid w:val="2BA81833"/>
    <w:rsid w:val="2BAC3F70"/>
    <w:rsid w:val="2C56166B"/>
    <w:rsid w:val="2C772798"/>
    <w:rsid w:val="2CC5167C"/>
    <w:rsid w:val="2CE33635"/>
    <w:rsid w:val="2D391980"/>
    <w:rsid w:val="2DE95528"/>
    <w:rsid w:val="2ED263DE"/>
    <w:rsid w:val="2EDC147D"/>
    <w:rsid w:val="2F312BD6"/>
    <w:rsid w:val="2F4F315F"/>
    <w:rsid w:val="2F5260FE"/>
    <w:rsid w:val="30780EC9"/>
    <w:rsid w:val="30FA4543"/>
    <w:rsid w:val="31C46552"/>
    <w:rsid w:val="31EC7268"/>
    <w:rsid w:val="32691E0F"/>
    <w:rsid w:val="33722AF4"/>
    <w:rsid w:val="339F5B7F"/>
    <w:rsid w:val="345A4B8C"/>
    <w:rsid w:val="348C692F"/>
    <w:rsid w:val="34A77A31"/>
    <w:rsid w:val="34F20284"/>
    <w:rsid w:val="354F6355"/>
    <w:rsid w:val="3570347C"/>
    <w:rsid w:val="35FC37F1"/>
    <w:rsid w:val="3619346A"/>
    <w:rsid w:val="37DD34EA"/>
    <w:rsid w:val="3859649B"/>
    <w:rsid w:val="386D2696"/>
    <w:rsid w:val="39103ACE"/>
    <w:rsid w:val="39227B1B"/>
    <w:rsid w:val="39406911"/>
    <w:rsid w:val="39850296"/>
    <w:rsid w:val="39C26750"/>
    <w:rsid w:val="3A7F1D43"/>
    <w:rsid w:val="3A8D223E"/>
    <w:rsid w:val="3B291386"/>
    <w:rsid w:val="3B563038"/>
    <w:rsid w:val="3B80307E"/>
    <w:rsid w:val="3BCA7BD7"/>
    <w:rsid w:val="3C6C37E2"/>
    <w:rsid w:val="3C7D1C3F"/>
    <w:rsid w:val="3CFD6A0C"/>
    <w:rsid w:val="3E431765"/>
    <w:rsid w:val="400943B7"/>
    <w:rsid w:val="40143523"/>
    <w:rsid w:val="406B2735"/>
    <w:rsid w:val="4171469C"/>
    <w:rsid w:val="42C454C8"/>
    <w:rsid w:val="431A2687"/>
    <w:rsid w:val="43482ADF"/>
    <w:rsid w:val="43497E11"/>
    <w:rsid w:val="434D3A87"/>
    <w:rsid w:val="438C52D1"/>
    <w:rsid w:val="43AF1DC7"/>
    <w:rsid w:val="442360D8"/>
    <w:rsid w:val="450B3104"/>
    <w:rsid w:val="45374F70"/>
    <w:rsid w:val="45872E0A"/>
    <w:rsid w:val="45E922E2"/>
    <w:rsid w:val="46181B9F"/>
    <w:rsid w:val="46B73DB3"/>
    <w:rsid w:val="46B85A12"/>
    <w:rsid w:val="46C20ABF"/>
    <w:rsid w:val="471C5409"/>
    <w:rsid w:val="475E76EE"/>
    <w:rsid w:val="47645604"/>
    <w:rsid w:val="47AC0459"/>
    <w:rsid w:val="47B54AE2"/>
    <w:rsid w:val="484652C3"/>
    <w:rsid w:val="489E735B"/>
    <w:rsid w:val="48AA0CAC"/>
    <w:rsid w:val="48EF215B"/>
    <w:rsid w:val="49547ADE"/>
    <w:rsid w:val="499358EA"/>
    <w:rsid w:val="4AB935E6"/>
    <w:rsid w:val="4B1F601E"/>
    <w:rsid w:val="4B65339C"/>
    <w:rsid w:val="4BE2220E"/>
    <w:rsid w:val="4C21323A"/>
    <w:rsid w:val="4D097364"/>
    <w:rsid w:val="4D7808AB"/>
    <w:rsid w:val="4DC87963"/>
    <w:rsid w:val="4DEB1983"/>
    <w:rsid w:val="4EBD760D"/>
    <w:rsid w:val="4EED2017"/>
    <w:rsid w:val="4F0B2DEE"/>
    <w:rsid w:val="4F2E2211"/>
    <w:rsid w:val="4F4E78CD"/>
    <w:rsid w:val="4FA62E1E"/>
    <w:rsid w:val="4FE85961"/>
    <w:rsid w:val="50341189"/>
    <w:rsid w:val="50837233"/>
    <w:rsid w:val="514C5668"/>
    <w:rsid w:val="51513799"/>
    <w:rsid w:val="518C29B6"/>
    <w:rsid w:val="52170DB7"/>
    <w:rsid w:val="52AA23A8"/>
    <w:rsid w:val="52B7187A"/>
    <w:rsid w:val="53A5465B"/>
    <w:rsid w:val="53B6028C"/>
    <w:rsid w:val="53DB4D25"/>
    <w:rsid w:val="54392B16"/>
    <w:rsid w:val="54442E65"/>
    <w:rsid w:val="545B2AA1"/>
    <w:rsid w:val="549B5701"/>
    <w:rsid w:val="54A9277D"/>
    <w:rsid w:val="553F16B7"/>
    <w:rsid w:val="558856A9"/>
    <w:rsid w:val="55CA2A9E"/>
    <w:rsid w:val="55E50F1B"/>
    <w:rsid w:val="565F6886"/>
    <w:rsid w:val="567813BA"/>
    <w:rsid w:val="56BC237C"/>
    <w:rsid w:val="56C00077"/>
    <w:rsid w:val="56CD4B4D"/>
    <w:rsid w:val="56E65062"/>
    <w:rsid w:val="575867DA"/>
    <w:rsid w:val="5798381B"/>
    <w:rsid w:val="585447AE"/>
    <w:rsid w:val="58EC4DE1"/>
    <w:rsid w:val="59EC6E24"/>
    <w:rsid w:val="5A0B2520"/>
    <w:rsid w:val="5A186813"/>
    <w:rsid w:val="5A3B2376"/>
    <w:rsid w:val="5A40591F"/>
    <w:rsid w:val="5A6F0692"/>
    <w:rsid w:val="5ABF2E42"/>
    <w:rsid w:val="5B586398"/>
    <w:rsid w:val="5B916903"/>
    <w:rsid w:val="5BCD51C4"/>
    <w:rsid w:val="5BEF472E"/>
    <w:rsid w:val="5C932202"/>
    <w:rsid w:val="5CC87E6F"/>
    <w:rsid w:val="5CD918EA"/>
    <w:rsid w:val="5D247D3D"/>
    <w:rsid w:val="5DAE1AC9"/>
    <w:rsid w:val="5E153AF5"/>
    <w:rsid w:val="5E293727"/>
    <w:rsid w:val="5E7A2525"/>
    <w:rsid w:val="5F0E1E7F"/>
    <w:rsid w:val="5F112305"/>
    <w:rsid w:val="5F1476E7"/>
    <w:rsid w:val="5F213803"/>
    <w:rsid w:val="5F2767B3"/>
    <w:rsid w:val="5F5D521F"/>
    <w:rsid w:val="5F8B111D"/>
    <w:rsid w:val="5FE31F70"/>
    <w:rsid w:val="60045498"/>
    <w:rsid w:val="614C1844"/>
    <w:rsid w:val="614F46D3"/>
    <w:rsid w:val="617A6C2D"/>
    <w:rsid w:val="618968F0"/>
    <w:rsid w:val="619E6355"/>
    <w:rsid w:val="61BD64DA"/>
    <w:rsid w:val="6215384D"/>
    <w:rsid w:val="623F3C4A"/>
    <w:rsid w:val="62AC06BC"/>
    <w:rsid w:val="633B4987"/>
    <w:rsid w:val="63525D55"/>
    <w:rsid w:val="64C20A08"/>
    <w:rsid w:val="64E24AB9"/>
    <w:rsid w:val="64F06443"/>
    <w:rsid w:val="65737FB9"/>
    <w:rsid w:val="65DF5ECF"/>
    <w:rsid w:val="66A662C4"/>
    <w:rsid w:val="67193901"/>
    <w:rsid w:val="67222B8A"/>
    <w:rsid w:val="679D182D"/>
    <w:rsid w:val="67BB6396"/>
    <w:rsid w:val="68197E1D"/>
    <w:rsid w:val="685045A6"/>
    <w:rsid w:val="688621C1"/>
    <w:rsid w:val="68C15BDE"/>
    <w:rsid w:val="690130CE"/>
    <w:rsid w:val="699562A3"/>
    <w:rsid w:val="69E95327"/>
    <w:rsid w:val="6AD23ACD"/>
    <w:rsid w:val="6B315A81"/>
    <w:rsid w:val="6C3F4637"/>
    <w:rsid w:val="6C9D07C7"/>
    <w:rsid w:val="6CB426A8"/>
    <w:rsid w:val="6D3835CD"/>
    <w:rsid w:val="6DDF18A8"/>
    <w:rsid w:val="6E7742D5"/>
    <w:rsid w:val="6E947A29"/>
    <w:rsid w:val="6F940B51"/>
    <w:rsid w:val="701E0D35"/>
    <w:rsid w:val="70C735D1"/>
    <w:rsid w:val="717A54B6"/>
    <w:rsid w:val="729D5D02"/>
    <w:rsid w:val="72AF23A1"/>
    <w:rsid w:val="72BF52A3"/>
    <w:rsid w:val="73520170"/>
    <w:rsid w:val="73B32D5B"/>
    <w:rsid w:val="74EA0661"/>
    <w:rsid w:val="75127B2A"/>
    <w:rsid w:val="75272590"/>
    <w:rsid w:val="756B70AB"/>
    <w:rsid w:val="759D7389"/>
    <w:rsid w:val="7617390F"/>
    <w:rsid w:val="762D45E7"/>
    <w:rsid w:val="76346231"/>
    <w:rsid w:val="76432C97"/>
    <w:rsid w:val="76472E5B"/>
    <w:rsid w:val="773F1B2E"/>
    <w:rsid w:val="776141C0"/>
    <w:rsid w:val="77E71EE7"/>
    <w:rsid w:val="78403651"/>
    <w:rsid w:val="784051C1"/>
    <w:rsid w:val="787551DB"/>
    <w:rsid w:val="789E16E5"/>
    <w:rsid w:val="78DB40C6"/>
    <w:rsid w:val="7954401D"/>
    <w:rsid w:val="79547EF1"/>
    <w:rsid w:val="79A24C96"/>
    <w:rsid w:val="7AE80A7B"/>
    <w:rsid w:val="7B5E14E4"/>
    <w:rsid w:val="7B741965"/>
    <w:rsid w:val="7BBF78B4"/>
    <w:rsid w:val="7BFE30BC"/>
    <w:rsid w:val="7CD24C07"/>
    <w:rsid w:val="7CDD0037"/>
    <w:rsid w:val="7D6C2012"/>
    <w:rsid w:val="7D8E6DCC"/>
    <w:rsid w:val="7D8F4D87"/>
    <w:rsid w:val="7DBB66FE"/>
    <w:rsid w:val="7DBE27C1"/>
    <w:rsid w:val="7DCA5F0F"/>
    <w:rsid w:val="7DD27BA7"/>
    <w:rsid w:val="7E1F736F"/>
    <w:rsid w:val="7E366AB8"/>
    <w:rsid w:val="7E53316F"/>
    <w:rsid w:val="7EF60637"/>
    <w:rsid w:val="7F9B365A"/>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paragraph" w:customStyle="1" w:styleId="10">
    <w:name w:val="Char"/>
    <w:basedOn w:val="1"/>
    <w:qFormat/>
    <w:uiPriority w:val="0"/>
    <w:rPr>
      <w:rFonts w:ascii="宋体" w:hAnsi="宋体" w:cs="Courier New"/>
      <w:sz w:val="32"/>
      <w:szCs w:val="32"/>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Normal]"/>
    <w:qFormat/>
    <w:uiPriority w:val="0"/>
    <w:rPr>
      <w:rFonts w:ascii="宋体" w:hAnsi="宋体" w:eastAsia="宋体" w:cs="Times New Roman"/>
      <w:sz w:val="24"/>
      <w:lang w:val="zh-CN"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19</Pages>
  <Words>9584</Words>
  <Characters>17669</Characters>
  <Lines>147</Lines>
  <Paragraphs>54</Paragraphs>
  <TotalTime>6</TotalTime>
  <ScaleCrop>false</ScaleCrop>
  <LinksUpToDate>false</LinksUpToDate>
  <CharactersWithSpaces>27199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Administrator</cp:lastModifiedBy>
  <dcterms:modified xsi:type="dcterms:W3CDTF">2024-04-03T01:04:02Z</dcterms:modified>
  <dc:title>关于2019年部门预算的批复</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EDOID">
    <vt:r8>5838458</vt:r8>
  </property>
  <property fmtid="{D5CDD505-2E9C-101B-9397-08002B2CF9AE}" pid="4" name="ICV">
    <vt:lpwstr>E7E435903E954F16B3A6550F30CE4D1E</vt:lpwstr>
  </property>
</Properties>
</file>