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实验室化学品</w:t>
      </w:r>
      <w:r>
        <w:rPr>
          <w:rFonts w:hint="eastAsia"/>
          <w:b/>
          <w:sz w:val="48"/>
          <w:szCs w:val="48"/>
        </w:rPr>
        <w:t>盘点</w:t>
      </w:r>
      <w:r>
        <w:rPr>
          <w:rFonts w:hint="eastAsia"/>
          <w:b/>
          <w:color w:val="000000"/>
          <w:sz w:val="48"/>
          <w:szCs w:val="48"/>
        </w:rPr>
        <w:t>及管理系统</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10</w:t>
      </w:r>
      <w:bookmarkStart w:id="7" w:name="_GoBack"/>
      <w:bookmarkEnd w:id="7"/>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……………………29</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实验室化学品</w:t>
      </w:r>
      <w:r>
        <w:rPr>
          <w:rFonts w:hint="eastAsia" w:ascii="宋体" w:hAnsi="宋体"/>
          <w:b/>
          <w:sz w:val="24"/>
        </w:rPr>
        <w:t>盘点</w:t>
      </w:r>
      <w:r>
        <w:rPr>
          <w:rFonts w:hint="eastAsia" w:ascii="宋体" w:hAnsi="宋体"/>
          <w:b/>
          <w:color w:val="000000"/>
          <w:sz w:val="24"/>
        </w:rPr>
        <w:t>及管理系统</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eastAsia" w:ascii="宋体" w:hAnsi="宋体" w:eastAsia="宋体"/>
          <w:b/>
          <w:color w:val="000000"/>
          <w:sz w:val="24"/>
          <w:lang w:eastAsia="zh-CN"/>
        </w:rPr>
      </w:pPr>
      <w:r>
        <w:rPr>
          <w:rFonts w:hint="eastAsia" w:ascii="宋体" w:hAnsi="宋体"/>
          <w:b/>
          <w:bCs/>
          <w:color w:val="000000"/>
          <w:sz w:val="24"/>
        </w:rPr>
        <w:t>一、项目编号：衢院招2021-44</w:t>
      </w:r>
      <w:r>
        <w:rPr>
          <w:rFonts w:hint="eastAsia" w:ascii="宋体" w:hAnsi="宋体"/>
          <w:b/>
          <w:bCs/>
          <w:color w:val="000000"/>
          <w:sz w:val="24"/>
          <w:lang w:eastAsia="zh-CN"/>
        </w:rPr>
        <w:t>（</w:t>
      </w:r>
      <w:r>
        <w:rPr>
          <w:rFonts w:hint="eastAsia" w:ascii="宋体" w:hAnsi="宋体"/>
          <w:b/>
          <w:bCs/>
          <w:color w:val="000000"/>
          <w:sz w:val="24"/>
          <w:lang w:val="en-US" w:eastAsia="zh-CN"/>
        </w:rPr>
        <w:t>1</w:t>
      </w:r>
      <w:r>
        <w:rPr>
          <w:rFonts w:hint="eastAsia" w:ascii="宋体" w:hAnsi="宋体"/>
          <w:b/>
          <w:bCs/>
          <w:color w:val="000000"/>
          <w:sz w:val="24"/>
          <w:lang w:eastAsia="zh-CN"/>
        </w:rPr>
        <w:t>）</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、项目名称：实验室化学品盘点及管理系统</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实验室化学品</w:t>
            </w:r>
            <w:r>
              <w:rPr>
                <w:rFonts w:hint="eastAsia" w:ascii="宋体" w:hAnsi="宋体"/>
                <w:sz w:val="24"/>
              </w:rPr>
              <w:t>盘点</w:t>
            </w:r>
            <w:r>
              <w:rPr>
                <w:rFonts w:hint="eastAsia" w:ascii="宋体" w:hAnsi="宋体"/>
                <w:color w:val="000000"/>
                <w:sz w:val="24"/>
              </w:rPr>
              <w:t>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c>
          <w:tcPr>
            <w:tcW w:w="207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40</w:t>
            </w:r>
          </w:p>
        </w:tc>
        <w:tc>
          <w:tcPr>
            <w:tcW w:w="256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实验室化学品管理系统</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套</w:t>
            </w:r>
          </w:p>
        </w:tc>
        <w:tc>
          <w:tcPr>
            <w:tcW w:w="207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p>
        </w:tc>
        <w:tc>
          <w:tcPr>
            <w:tcW w:w="256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highlight w:val="yellow"/>
        </w:rPr>
        <w:t>4.</w:t>
      </w:r>
      <w:r>
        <w:rPr>
          <w:rFonts w:hint="eastAsia"/>
          <w:highlight w:val="yellow"/>
        </w:rPr>
        <w:t xml:space="preserve"> 投标人</w:t>
      </w:r>
      <w:r>
        <w:rPr>
          <w:rFonts w:hint="eastAsia" w:ascii="宋体" w:hAnsi="宋体"/>
          <w:color w:val="000000"/>
          <w:sz w:val="24"/>
          <w:highlight w:val="yellow"/>
        </w:rPr>
        <w:t>为中小微企业/残疾人企业/监狱企业，不接受联合体投标。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widowControl w:val="0"/>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12"/>
        <w:widowControl w:val="0"/>
        <w:spacing w:before="0" w:beforeAutospacing="0" w:after="0" w:afterAutospacing="0" w:line="360" w:lineRule="auto"/>
        <w:ind w:firstLine="480" w:firstLineChars="200"/>
        <w:jc w:val="both"/>
        <w:rPr>
          <w:rFonts w:cs="仿宋_GB2312"/>
          <w:color w:val="FF0000"/>
          <w:kern w:val="2"/>
        </w:rPr>
      </w:pPr>
      <w:r>
        <w:rPr>
          <w:rFonts w:hint="eastAsia" w:cs="仿宋_GB2312"/>
          <w:color w:val="FF0000"/>
          <w:kern w:val="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shd w:val="clear" w:color="auto" w:fill="FFFFFF" w:themeFill="background1"/>
          <w14:textFill>
            <w14:solidFill>
              <w14:schemeClr w14:val="tx1"/>
            </w14:solidFill>
          </w14:textFill>
        </w:rPr>
      </w:pPr>
      <w:r>
        <w:rPr>
          <w:rFonts w:hint="eastAsia" w:cs="仿宋_GB2312"/>
          <w:b/>
          <w:color w:val="000000" w:themeColor="text1"/>
          <w14:textFill>
            <w14:solidFill>
              <w14:schemeClr w14:val="tx1"/>
            </w14:solidFill>
          </w14:textFill>
        </w:rPr>
        <w:t>七、递交投标文件截止及开标时间</w:t>
      </w:r>
      <w:r>
        <w:rPr>
          <w:rFonts w:hint="eastAsia" w:cs="仿宋_GB2312"/>
          <w:b/>
          <w:color w:val="000000" w:themeColor="text1"/>
          <w:shd w:val="clear" w:color="auto" w:fill="FFFFFF" w:themeFill="background1"/>
          <w14:textFill>
            <w14:solidFill>
              <w14:schemeClr w14:val="tx1"/>
            </w14:solidFill>
          </w14:textFill>
        </w:rPr>
        <w:t>：2021年</w:t>
      </w:r>
      <w:r>
        <w:rPr>
          <w:rFonts w:hint="eastAsia" w:cs="仿宋_GB2312"/>
          <w:b/>
          <w:color w:val="000000" w:themeColor="text1"/>
          <w:shd w:val="clear" w:color="auto" w:fill="FFFFFF" w:themeFill="background1"/>
          <w:lang w:val="en-US" w:eastAsia="zh-CN"/>
          <w14:textFill>
            <w14:solidFill>
              <w14:schemeClr w14:val="tx1"/>
            </w14:solidFill>
          </w14:textFill>
        </w:rPr>
        <w:t>10</w:t>
      </w:r>
      <w:r>
        <w:rPr>
          <w:rFonts w:hint="eastAsia" w:cs="仿宋_GB2312"/>
          <w:b/>
          <w:color w:val="000000" w:themeColor="text1"/>
          <w:shd w:val="clear" w:color="auto" w:fill="FFFFFF" w:themeFill="background1"/>
          <w14:textFill>
            <w14:solidFill>
              <w14:schemeClr w14:val="tx1"/>
            </w14:solidFill>
          </w14:textFill>
        </w:rPr>
        <w:t>月</w:t>
      </w:r>
      <w:r>
        <w:rPr>
          <w:rFonts w:hint="eastAsia" w:cs="仿宋_GB2312"/>
          <w:b/>
          <w:color w:val="000000" w:themeColor="text1"/>
          <w:shd w:val="clear" w:color="auto" w:fill="FFFFFF" w:themeFill="background1"/>
          <w:lang w:val="en-US" w:eastAsia="zh-CN"/>
          <w14:textFill>
            <w14:solidFill>
              <w14:schemeClr w14:val="tx1"/>
            </w14:solidFill>
          </w14:textFill>
        </w:rPr>
        <w:t>29</w:t>
      </w:r>
      <w:r>
        <w:rPr>
          <w:rFonts w:hint="eastAsia" w:cs="仿宋_GB2312"/>
          <w:b/>
          <w:color w:val="000000" w:themeColor="text1"/>
          <w:shd w:val="clear" w:color="auto" w:fill="FFFFFF" w:themeFill="background1"/>
          <w14:textFill>
            <w14:solidFill>
              <w14:schemeClr w14:val="tx1"/>
            </w14:solidFill>
          </w14:textFill>
        </w:rPr>
        <w:t>日9:00时（北京时间）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pacing w:line="360" w:lineRule="auto"/>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w:t>
      </w:r>
      <w:r>
        <w:rPr>
          <w:rFonts w:ascii="宋体" w:hAnsi="宋体" w:cs="宋体"/>
          <w:color w:val="000000" w:themeColor="text1"/>
          <w:kern w:val="0"/>
          <w:sz w:val="24"/>
          <w14:textFill>
            <w14:solidFill>
              <w14:schemeClr w14:val="tx1"/>
            </w14:solidFill>
          </w14:textFill>
        </w:rPr>
        <w:t>衢州学院开标室（行政楼12</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室）</w:t>
      </w:r>
      <w:r>
        <w:rPr>
          <w:rFonts w:hint="eastAsia" w:ascii="宋体" w:hAnsi="宋体" w:cs="宋体"/>
          <w:color w:val="000000" w:themeColor="text1"/>
          <w:kern w:val="0"/>
          <w:sz w:val="24"/>
          <w14:textFill>
            <w14:solidFill>
              <w14:schemeClr w14:val="tx1"/>
            </w14:solidFill>
          </w14:textFill>
        </w:rPr>
        <w:t>。</w:t>
      </w:r>
    </w:p>
    <w:p>
      <w:pPr>
        <w:pStyle w:val="12"/>
        <w:spacing w:before="0" w:beforeAutospacing="0" w:after="0" w:afterAutospacing="0" w:line="360" w:lineRule="auto"/>
        <w:ind w:firstLine="482" w:firstLineChars="200"/>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九、投标保证金</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化学与材料工程学院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7" w:firstLineChars="203"/>
        <w:rPr>
          <w:rFonts w:ascii="宋体" w:hAnsi="宋体"/>
          <w:kern w:val="0"/>
          <w:sz w:val="24"/>
        </w:rPr>
      </w:pPr>
      <w:r>
        <w:rPr>
          <w:rFonts w:hint="eastAsia" w:ascii="宋体" w:hAnsi="宋体"/>
          <w:kern w:val="0"/>
          <w:sz w:val="24"/>
        </w:rPr>
        <w:t>采购中心联系人：周老师；电话（传真）：0570-8015042，18957039862。</w:t>
      </w:r>
    </w:p>
    <w:p>
      <w:pPr>
        <w:spacing w:line="360" w:lineRule="auto"/>
        <w:ind w:firstLine="487" w:firstLineChars="203"/>
        <w:rPr>
          <w:rFonts w:ascii="宋体" w:hAnsi="宋体"/>
          <w:kern w:val="0"/>
          <w:sz w:val="24"/>
        </w:rPr>
      </w:pPr>
      <w:r>
        <w:rPr>
          <w:rFonts w:hint="eastAsia" w:ascii="宋体" w:hAnsi="宋体"/>
          <w:kern w:val="0"/>
          <w:sz w:val="24"/>
        </w:rPr>
        <w:t>质疑答复联系人：郑老师；电话（传真）：0570-8015028，13567021518。</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：金老师</w:t>
      </w:r>
      <w:r>
        <w:rPr>
          <w:rFonts w:hint="eastAsia" w:ascii="宋体" w:hAnsi="宋体"/>
          <w:bCs/>
          <w:color w:val="000000"/>
          <w:sz w:val="24"/>
        </w:rPr>
        <w:t>，电话：13587037182。</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hd w:val="clear" w:color="auto" w:fill="FFFFFF" w:themeFill="background1"/>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w:t>
      </w:r>
      <w:r>
        <w:rPr>
          <w:rFonts w:hint="eastAsia" w:ascii="宋体" w:hAnsi="宋体"/>
          <w:bCs/>
          <w:color w:val="000000" w:themeColor="text1"/>
          <w:sz w:val="24"/>
          <w:lang w:val="en-US" w:eastAsia="zh-CN"/>
          <w14:textFill>
            <w14:solidFill>
              <w14:schemeClr w14:val="tx1"/>
            </w14:solidFill>
          </w14:textFill>
        </w:rPr>
        <w:t>10</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lang w:val="en-US" w:eastAsia="zh-CN"/>
          <w14:textFill>
            <w14:solidFill>
              <w14:schemeClr w14:val="tx1"/>
            </w14:solidFill>
          </w14:textFill>
        </w:rPr>
        <w:t>9</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投标文件从投标文件递交截止之日起，有效期为60天。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w:t>
      </w:r>
      <w:r>
        <w:rPr>
          <w:rFonts w:hint="eastAsia" w:ascii="宋体" w:hAnsi="宋体"/>
          <w:b/>
          <w:bCs/>
          <w:kern w:val="0"/>
          <w:sz w:val="24"/>
        </w:rPr>
        <w:t>1年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kern w:val="0"/>
          <w:sz w:val="24"/>
        </w:rPr>
        <w:t>60天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kern w:val="0"/>
          <w:sz w:val="24"/>
        </w:rPr>
        <w:t>3</w:t>
      </w:r>
      <w:r>
        <w:rPr>
          <w:rFonts w:hint="eastAsia" w:ascii="宋体" w:hAnsi="宋体"/>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87" w:firstLineChars="203"/>
        <w:rPr>
          <w:rFonts w:ascii="宋体" w:hAnsi="宋体"/>
          <w:kern w:val="0"/>
          <w:sz w:val="24"/>
        </w:rPr>
      </w:pPr>
      <w:r>
        <w:rPr>
          <w:rFonts w:hint="eastAsia" w:ascii="宋体" w:hAnsi="宋体"/>
          <w:kern w:val="0"/>
          <w:sz w:val="24"/>
        </w:rPr>
        <w:t>采购中心联系人：周老师；电话（传真）：0570-8015042，18957039862。</w:t>
      </w:r>
    </w:p>
    <w:p>
      <w:pPr>
        <w:spacing w:line="360" w:lineRule="auto"/>
        <w:ind w:firstLine="487" w:firstLineChars="203"/>
        <w:rPr>
          <w:rFonts w:ascii="宋体" w:hAnsi="宋体"/>
          <w:kern w:val="0"/>
          <w:sz w:val="24"/>
        </w:rPr>
      </w:pPr>
      <w:r>
        <w:rPr>
          <w:rFonts w:hint="eastAsia" w:ascii="宋体" w:hAnsi="宋体"/>
          <w:kern w:val="0"/>
          <w:sz w:val="24"/>
        </w:rPr>
        <w:t>质疑答复联系人：郑老师；电话（传真）：0570-8015028，13567021518。</w:t>
      </w:r>
    </w:p>
    <w:p>
      <w:pPr>
        <w:spacing w:line="360" w:lineRule="auto"/>
        <w:ind w:left="479" w:leftChars="228" w:firstLine="12" w:firstLineChars="5"/>
        <w:rPr>
          <w:rFonts w:ascii="宋体" w:hAnsi="宋体"/>
          <w:bCs/>
          <w:color w:val="000000"/>
          <w:sz w:val="24"/>
        </w:rPr>
      </w:pPr>
      <w:bookmarkStart w:id="4" w:name="_Toc201078659"/>
      <w:r>
        <w:rPr>
          <w:rFonts w:hint="eastAsia" w:ascii="宋体" w:hAnsi="宋体"/>
          <w:bCs/>
          <w:sz w:val="24"/>
        </w:rPr>
        <w:t>项目技术答疑联系人</w:t>
      </w:r>
      <w:r>
        <w:rPr>
          <w:rFonts w:hint="eastAsia" w:ascii="宋体" w:hAnsi="宋体"/>
          <w:kern w:val="0"/>
          <w:sz w:val="24"/>
        </w:rPr>
        <w:t>：金老师</w:t>
      </w:r>
      <w:r>
        <w:rPr>
          <w:rFonts w:hint="eastAsia" w:ascii="宋体" w:hAnsi="宋体"/>
          <w:bCs/>
          <w:color w:val="000000"/>
          <w:sz w:val="24"/>
        </w:rPr>
        <w:t>，电话：13587037182。</w:t>
      </w: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4"/>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1</w:t>
            </w:r>
          </w:p>
        </w:tc>
        <w:tc>
          <w:tcPr>
            <w:tcW w:w="5103" w:type="dxa"/>
            <w:vAlign w:val="center"/>
          </w:tcPr>
          <w:p>
            <w:pPr>
              <w:spacing w:line="360" w:lineRule="auto"/>
              <w:jc w:val="center"/>
              <w:rPr>
                <w:bCs/>
                <w:color w:val="000000"/>
                <w:kern w:val="0"/>
                <w:sz w:val="24"/>
              </w:rPr>
            </w:pPr>
            <w:r>
              <w:rPr>
                <w:rFonts w:hint="eastAsia"/>
                <w:bCs/>
                <w:color w:val="000000"/>
                <w:kern w:val="0"/>
                <w:sz w:val="24"/>
              </w:rPr>
              <w:t>实验室化学品盘点系统</w:t>
            </w:r>
          </w:p>
        </w:tc>
        <w:tc>
          <w:tcPr>
            <w:tcW w:w="851" w:type="dxa"/>
            <w:vAlign w:val="center"/>
          </w:tcPr>
          <w:p>
            <w:pPr>
              <w:spacing w:line="360" w:lineRule="auto"/>
              <w:jc w:val="center"/>
              <w:rPr>
                <w:bCs/>
                <w:color w:val="000000"/>
                <w:kern w:val="0"/>
                <w:sz w:val="24"/>
              </w:rPr>
            </w:pPr>
            <w:r>
              <w:rPr>
                <w:rFonts w:hint="eastAsia"/>
                <w:color w:val="000000"/>
                <w:sz w:val="24"/>
              </w:rPr>
              <w:t>套</w:t>
            </w:r>
          </w:p>
        </w:tc>
        <w:tc>
          <w:tcPr>
            <w:tcW w:w="948" w:type="dxa"/>
            <w:vAlign w:val="center"/>
          </w:tcPr>
          <w:p>
            <w:pPr>
              <w:spacing w:line="360" w:lineRule="auto"/>
              <w:jc w:val="center"/>
              <w:rPr>
                <w:bCs/>
                <w:color w:val="000000"/>
                <w:sz w:val="24"/>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rFonts w:hint="eastAsia"/>
                <w:bCs/>
                <w:color w:val="000000"/>
                <w:kern w:val="0"/>
                <w:sz w:val="24"/>
              </w:rPr>
              <w:t>2</w:t>
            </w:r>
          </w:p>
        </w:tc>
        <w:tc>
          <w:tcPr>
            <w:tcW w:w="5103" w:type="dxa"/>
            <w:vAlign w:val="center"/>
          </w:tcPr>
          <w:p>
            <w:pPr>
              <w:spacing w:line="360" w:lineRule="auto"/>
              <w:jc w:val="center"/>
              <w:rPr>
                <w:bCs/>
                <w:color w:val="000000"/>
                <w:kern w:val="0"/>
                <w:sz w:val="24"/>
              </w:rPr>
            </w:pPr>
            <w:r>
              <w:rPr>
                <w:rFonts w:hint="eastAsia"/>
                <w:bCs/>
                <w:color w:val="000000"/>
                <w:kern w:val="0"/>
                <w:sz w:val="24"/>
              </w:rPr>
              <w:t>实验室化学品管理系统</w:t>
            </w:r>
          </w:p>
        </w:tc>
        <w:tc>
          <w:tcPr>
            <w:tcW w:w="851" w:type="dxa"/>
            <w:vAlign w:val="center"/>
          </w:tcPr>
          <w:p>
            <w:pPr>
              <w:spacing w:line="360" w:lineRule="auto"/>
              <w:jc w:val="center"/>
              <w:rPr>
                <w:color w:val="000000"/>
                <w:sz w:val="24"/>
              </w:rPr>
            </w:pPr>
            <w:r>
              <w:rPr>
                <w:rFonts w:hint="eastAsia"/>
                <w:color w:val="000000"/>
                <w:sz w:val="24"/>
              </w:rPr>
              <w:t>套</w:t>
            </w:r>
          </w:p>
        </w:tc>
        <w:tc>
          <w:tcPr>
            <w:tcW w:w="948" w:type="dxa"/>
            <w:vAlign w:val="center"/>
          </w:tcPr>
          <w:p>
            <w:pPr>
              <w:spacing w:line="360" w:lineRule="auto"/>
              <w:jc w:val="center"/>
              <w:rPr>
                <w:bCs/>
                <w:color w:val="000000"/>
                <w:sz w:val="24"/>
              </w:rPr>
            </w:pPr>
            <w:r>
              <w:rPr>
                <w:rFonts w:hint="eastAsia"/>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4"/>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rFonts w:hint="eastAsia"/>
                <w:b/>
                <w:color w:val="000000"/>
                <w:sz w:val="24"/>
                <w:lang w:val="zh-CN"/>
              </w:rPr>
              <w:t>1</w:t>
            </w:r>
          </w:p>
        </w:tc>
        <w:tc>
          <w:tcPr>
            <w:tcW w:w="5528" w:type="dxa"/>
            <w:shd w:val="clear" w:color="auto" w:fill="FFFFFF"/>
            <w:vAlign w:val="center"/>
          </w:tcPr>
          <w:p>
            <w:pPr>
              <w:spacing w:line="380" w:lineRule="exact"/>
              <w:jc w:val="center"/>
              <w:rPr>
                <w:color w:val="000000"/>
                <w:kern w:val="0"/>
                <w:sz w:val="24"/>
                <w:lang w:val="zh-CN"/>
              </w:rPr>
            </w:pPr>
            <w:r>
              <w:rPr>
                <w:rFonts w:hint="eastAsia" w:ascii="宋体" w:hAnsi="宋体" w:cs="宋体"/>
                <w:bCs/>
                <w:color w:val="000000"/>
                <w:kern w:val="0"/>
                <w:sz w:val="24"/>
              </w:rPr>
              <w:t>实验室化学品盘点系统</w:t>
            </w:r>
          </w:p>
        </w:tc>
        <w:tc>
          <w:tcPr>
            <w:tcW w:w="709" w:type="dxa"/>
            <w:shd w:val="clear" w:color="auto" w:fill="FFFFFF"/>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856" w:type="dxa"/>
            <w:shd w:val="clear" w:color="auto" w:fill="FFFFFF"/>
            <w:vAlign w:val="center"/>
          </w:tcPr>
          <w:p>
            <w:pPr>
              <w:spacing w:line="380" w:lineRule="exact"/>
              <w:jc w:val="center"/>
              <w:rPr>
                <w:bCs/>
                <w:color w:val="000000"/>
                <w:sz w:val="24"/>
                <w:lang w:val="zh-CN"/>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rFonts w:hint="eastAsia"/>
                <w:b/>
                <w:color w:val="000000"/>
                <w:sz w:val="24"/>
                <w:lang w:val="zh-CN"/>
              </w:rPr>
              <w:t>1-1</w:t>
            </w:r>
          </w:p>
        </w:tc>
        <w:tc>
          <w:tcPr>
            <w:tcW w:w="5528"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实验室化学品盘点系统软件</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856" w:type="dxa"/>
            <w:shd w:val="clear" w:color="auto" w:fill="FFFFFF"/>
            <w:vAlign w:val="center"/>
          </w:tcPr>
          <w:p>
            <w:pPr>
              <w:spacing w:line="380" w:lineRule="exact"/>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rFonts w:hint="eastAsia"/>
                <w:b/>
                <w:color w:val="000000"/>
                <w:sz w:val="24"/>
                <w:lang w:val="zh-CN"/>
              </w:rPr>
              <w:t>1-2</w:t>
            </w:r>
          </w:p>
        </w:tc>
        <w:tc>
          <w:tcPr>
            <w:tcW w:w="5528"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配套盘点器B型（手持终端）</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shd w:val="clear" w:color="auto" w:fill="FFFFFF"/>
            <w:vAlign w:val="center"/>
          </w:tcPr>
          <w:p>
            <w:pPr>
              <w:spacing w:line="380" w:lineRule="exact"/>
              <w:jc w:val="center"/>
              <w:rPr>
                <w:bCs/>
                <w:color w:val="000000"/>
                <w:sz w:val="24"/>
              </w:rPr>
            </w:pPr>
            <w:r>
              <w:rPr>
                <w:rFonts w:hint="eastAsia"/>
                <w:bCs/>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rFonts w:hint="eastAsia"/>
                <w:b/>
                <w:color w:val="000000"/>
                <w:sz w:val="24"/>
                <w:lang w:val="zh-CN"/>
              </w:rPr>
              <w:t>2</w:t>
            </w:r>
          </w:p>
        </w:tc>
        <w:tc>
          <w:tcPr>
            <w:tcW w:w="5528"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实验室化学品管理系统软件</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856" w:type="dxa"/>
            <w:shd w:val="clear" w:color="auto" w:fill="FFFFFF"/>
            <w:vAlign w:val="center"/>
          </w:tcPr>
          <w:p>
            <w:pPr>
              <w:spacing w:line="380" w:lineRule="exact"/>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b/>
                <w:color w:val="000000"/>
                <w:sz w:val="24"/>
                <w:lang w:val="zh-CN"/>
              </w:rPr>
            </w:pPr>
            <w:r>
              <w:rPr>
                <w:rFonts w:hint="eastAsia"/>
                <w:b/>
                <w:color w:val="000000"/>
                <w:sz w:val="24"/>
                <w:lang w:val="zh-CN"/>
              </w:rPr>
              <w:t>3</w:t>
            </w:r>
          </w:p>
        </w:tc>
        <w:tc>
          <w:tcPr>
            <w:tcW w:w="5528"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化学与材料工程实验室化学品盘点服务</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次</w:t>
            </w:r>
          </w:p>
        </w:tc>
        <w:tc>
          <w:tcPr>
            <w:tcW w:w="856" w:type="dxa"/>
            <w:shd w:val="clear" w:color="auto" w:fill="FFFFFF"/>
            <w:vAlign w:val="center"/>
          </w:tcPr>
          <w:p>
            <w:pPr>
              <w:spacing w:line="380" w:lineRule="exact"/>
              <w:jc w:val="center"/>
              <w:rPr>
                <w:bCs/>
                <w:color w:val="000000"/>
                <w:sz w:val="24"/>
              </w:rPr>
            </w:pPr>
            <w:r>
              <w:rPr>
                <w:rFonts w:hint="eastAsia"/>
                <w:bCs/>
                <w:color w:val="000000"/>
                <w:sz w:val="24"/>
              </w:rPr>
              <w:t>1</w:t>
            </w:r>
          </w:p>
        </w:tc>
      </w:tr>
    </w:tbl>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b/>
          <w:bCs/>
          <w:color w:val="000000"/>
          <w:sz w:val="24"/>
        </w:rPr>
      </w:pPr>
      <w:r>
        <w:rPr>
          <w:b/>
          <w:bCs/>
          <w:color w:val="000000"/>
          <w:sz w:val="24"/>
        </w:rPr>
        <w:t>服务要求</w:t>
      </w:r>
      <w:r>
        <w:rPr>
          <w:rFonts w:hint="eastAsia"/>
          <w:b/>
          <w:bCs/>
          <w:color w:val="000000"/>
          <w:sz w:val="24"/>
        </w:rPr>
        <w:t>：</w:t>
      </w:r>
    </w:p>
    <w:p>
      <w:pPr>
        <w:spacing w:line="360" w:lineRule="auto"/>
        <w:ind w:firstLine="480" w:firstLineChars="20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4"/>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66"/>
        <w:gridCol w:w="526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79" w:type="dxa"/>
            <w:vAlign w:val="center"/>
          </w:tcPr>
          <w:p>
            <w:pPr>
              <w:spacing w:line="360" w:lineRule="auto"/>
              <w:jc w:val="center"/>
              <w:rPr>
                <w:b/>
                <w:color w:val="000000"/>
                <w:szCs w:val="21"/>
              </w:rPr>
            </w:pPr>
            <w:r>
              <w:rPr>
                <w:b/>
                <w:bCs/>
                <w:color w:val="000000"/>
                <w:szCs w:val="21"/>
              </w:rPr>
              <w:t>序号</w:t>
            </w:r>
          </w:p>
        </w:tc>
        <w:tc>
          <w:tcPr>
            <w:tcW w:w="1066" w:type="dxa"/>
            <w:vAlign w:val="center"/>
          </w:tcPr>
          <w:p>
            <w:pPr>
              <w:spacing w:line="360" w:lineRule="auto"/>
              <w:jc w:val="center"/>
              <w:rPr>
                <w:b/>
                <w:bCs/>
                <w:color w:val="000000"/>
                <w:szCs w:val="21"/>
              </w:rPr>
            </w:pPr>
            <w:r>
              <w:rPr>
                <w:b/>
                <w:bCs/>
                <w:color w:val="000000"/>
                <w:szCs w:val="21"/>
              </w:rPr>
              <w:t>名称</w:t>
            </w:r>
          </w:p>
        </w:tc>
        <w:tc>
          <w:tcPr>
            <w:tcW w:w="5260" w:type="dxa"/>
            <w:vAlign w:val="center"/>
          </w:tcPr>
          <w:p>
            <w:pPr>
              <w:spacing w:line="360" w:lineRule="auto"/>
              <w:jc w:val="center"/>
              <w:rPr>
                <w:b/>
                <w:bCs/>
                <w:color w:val="000000"/>
                <w:szCs w:val="21"/>
              </w:rPr>
            </w:pPr>
            <w:r>
              <w:rPr>
                <w:b/>
                <w:bCs/>
                <w:color w:val="000000"/>
                <w:szCs w:val="21"/>
              </w:rPr>
              <w:t>规格型号或技术参数</w:t>
            </w:r>
          </w:p>
        </w:tc>
        <w:tc>
          <w:tcPr>
            <w:tcW w:w="134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1066" w:type="dxa"/>
            <w:shd w:val="clear" w:color="auto" w:fill="FFFFFF"/>
            <w:vAlign w:val="center"/>
          </w:tcPr>
          <w:p>
            <w:pPr>
              <w:spacing w:line="360" w:lineRule="auto"/>
              <w:jc w:val="center"/>
              <w:rPr>
                <w:color w:val="000000"/>
                <w:szCs w:val="21"/>
                <w:lang w:val="zh-CN"/>
              </w:rPr>
            </w:pPr>
            <w:r>
              <w:rPr>
                <w:rFonts w:hint="eastAsia"/>
                <w:color w:val="000000"/>
                <w:szCs w:val="21"/>
                <w:lang w:val="zh-CN"/>
              </w:rPr>
              <w:t>实验室化学品盘点系统</w:t>
            </w:r>
          </w:p>
        </w:tc>
        <w:tc>
          <w:tcPr>
            <w:tcW w:w="5260" w:type="dxa"/>
            <w:shd w:val="clear" w:color="auto" w:fill="FFFFFF"/>
            <w:vAlign w:val="center"/>
          </w:tcPr>
          <w:p>
            <w:pPr>
              <w:pStyle w:val="4"/>
              <w:numPr>
                <w:ilvl w:val="1"/>
                <w:numId w:val="2"/>
              </w:numPr>
              <w:spacing w:line="360" w:lineRule="auto"/>
              <w:jc w:val="left"/>
              <w:rPr>
                <w:bCs/>
                <w:color w:val="000000"/>
                <w:szCs w:val="21"/>
              </w:rPr>
            </w:pPr>
            <w:r>
              <w:rPr>
                <w:rFonts w:hint="eastAsia"/>
                <w:bCs/>
                <w:color w:val="000000"/>
                <w:szCs w:val="21"/>
              </w:rPr>
              <w:t>运用二维码标签采集危化品仓库试剂的入库、领用、盘点等信息;</w:t>
            </w:r>
          </w:p>
          <w:p>
            <w:pPr>
              <w:pStyle w:val="4"/>
              <w:numPr>
                <w:ilvl w:val="1"/>
                <w:numId w:val="2"/>
              </w:numPr>
              <w:spacing w:line="360" w:lineRule="auto"/>
              <w:jc w:val="left"/>
              <w:rPr>
                <w:bCs/>
                <w:color w:val="000000"/>
                <w:szCs w:val="21"/>
              </w:rPr>
            </w:pPr>
            <w:r>
              <w:rPr>
                <w:rFonts w:hint="eastAsia"/>
                <w:bCs/>
                <w:color w:val="000000"/>
                <w:szCs w:val="21"/>
              </w:rPr>
              <w:t>手机与ss手持终端蓝牙连接，可进行化学品入库，盘点，具备文字和语音录入两种功能；</w:t>
            </w:r>
          </w:p>
          <w:p>
            <w:pPr>
              <w:pStyle w:val="4"/>
              <w:numPr>
                <w:ilvl w:val="1"/>
                <w:numId w:val="2"/>
              </w:numPr>
              <w:spacing w:line="360" w:lineRule="auto"/>
              <w:jc w:val="left"/>
              <w:rPr>
                <w:bCs/>
                <w:color w:val="000000"/>
                <w:szCs w:val="21"/>
              </w:rPr>
            </w:pPr>
            <w:r>
              <w:rPr>
                <w:rFonts w:hint="eastAsia"/>
                <w:bCs/>
                <w:color w:val="000000"/>
                <w:szCs w:val="21"/>
              </w:rPr>
              <w:t>化学品盘点系统软件必须涵盖目前所有危险化学品及普通化学品的化学品安全说明书（MSDS），特殊化学品可后台手动录入相关信息；化学品数据库里至少要90万条以上的数据，准确率在99%以上；目前国家文件管控的2828种试剂的数据要求100%准确率。</w:t>
            </w:r>
          </w:p>
          <w:p>
            <w:pPr>
              <w:pStyle w:val="4"/>
              <w:numPr>
                <w:ilvl w:val="1"/>
                <w:numId w:val="2"/>
              </w:numPr>
              <w:spacing w:line="360" w:lineRule="auto"/>
              <w:jc w:val="left"/>
              <w:rPr>
                <w:bCs/>
                <w:color w:val="000000"/>
                <w:szCs w:val="21"/>
              </w:rPr>
            </w:pPr>
            <w:r>
              <w:rPr>
                <w:rFonts w:hint="eastAsia"/>
                <w:bCs/>
                <w:color w:val="000000"/>
                <w:szCs w:val="21"/>
              </w:rPr>
              <w:t>入库时，根据录入化学品相关信息，系统主动识别危化品级别，根据不同的管制情况，提示录入操作人员该化学品储存，使用等管理规范。</w:t>
            </w:r>
          </w:p>
          <w:p>
            <w:pPr>
              <w:pStyle w:val="4"/>
              <w:numPr>
                <w:ilvl w:val="1"/>
                <w:numId w:val="2"/>
              </w:numPr>
              <w:spacing w:line="360" w:lineRule="auto"/>
              <w:jc w:val="left"/>
              <w:rPr>
                <w:bCs/>
                <w:color w:val="000000"/>
                <w:szCs w:val="21"/>
              </w:rPr>
            </w:pPr>
            <w:r>
              <w:rPr>
                <w:rFonts w:hint="eastAsia"/>
                <w:bCs/>
                <w:color w:val="000000"/>
                <w:szCs w:val="21"/>
              </w:rPr>
              <w:t>组织构架要求采用树型结构，可设置相关权限，可以编辑组织名称，添加/删除组织，变更各级账户权限.</w:t>
            </w:r>
          </w:p>
          <w:p>
            <w:pPr>
              <w:pStyle w:val="4"/>
              <w:numPr>
                <w:ilvl w:val="1"/>
                <w:numId w:val="2"/>
              </w:numPr>
              <w:spacing w:line="360" w:lineRule="auto"/>
              <w:jc w:val="left"/>
              <w:rPr>
                <w:bCs/>
                <w:color w:val="000000"/>
                <w:szCs w:val="21"/>
              </w:rPr>
            </w:pPr>
            <w:r>
              <w:rPr>
                <w:rFonts w:hint="eastAsia"/>
                <w:bCs/>
                <w:color w:val="000000"/>
                <w:szCs w:val="21"/>
              </w:rPr>
              <w:t>根据使用单位实验室分布及布局情况，设置校区名称、校区编号；学院名称、学院编号；实验室/课题组名称，实验室/课题组编号；房间名称，有房间编号，不同层级设置主要管理原账号，负责各级系统管理。</w:t>
            </w:r>
          </w:p>
          <w:p>
            <w:pPr>
              <w:pStyle w:val="4"/>
              <w:numPr>
                <w:ilvl w:val="1"/>
                <w:numId w:val="2"/>
              </w:numPr>
              <w:spacing w:line="360" w:lineRule="auto"/>
              <w:jc w:val="left"/>
              <w:rPr>
                <w:bCs/>
                <w:color w:val="000000"/>
                <w:szCs w:val="21"/>
              </w:rPr>
            </w:pPr>
            <w:r>
              <w:rPr>
                <w:rFonts w:hint="eastAsia"/>
                <w:bCs/>
                <w:color w:val="000000"/>
                <w:szCs w:val="21"/>
              </w:rPr>
              <w:t>手机端系统与学校统一身份认证系统对接，各角色使用人通过学校统一身份认证登录，只绑定账号，不绑定硬件。</w:t>
            </w:r>
          </w:p>
          <w:p>
            <w:pPr>
              <w:pStyle w:val="4"/>
              <w:numPr>
                <w:ilvl w:val="1"/>
                <w:numId w:val="2"/>
              </w:numPr>
              <w:spacing w:line="360" w:lineRule="auto"/>
              <w:jc w:val="left"/>
              <w:rPr>
                <w:bCs/>
                <w:color w:val="000000"/>
                <w:szCs w:val="21"/>
              </w:rPr>
            </w:pPr>
            <w:r>
              <w:rPr>
                <w:rFonts w:hint="eastAsia"/>
                <w:bCs/>
                <w:color w:val="000000"/>
                <w:szCs w:val="21"/>
              </w:rPr>
              <w:t>手持终端二维码打印可通过扫描打印机上的二维码即可自动跟智能打印机连接，连接不成功，有提示，加密通讯，不造成丢失数据。</w:t>
            </w:r>
          </w:p>
          <w:p>
            <w:pPr>
              <w:pStyle w:val="4"/>
              <w:numPr>
                <w:ilvl w:val="1"/>
                <w:numId w:val="2"/>
              </w:numPr>
              <w:spacing w:line="360" w:lineRule="auto"/>
              <w:jc w:val="left"/>
              <w:rPr>
                <w:bCs/>
                <w:color w:val="000000"/>
                <w:szCs w:val="21"/>
              </w:rPr>
            </w:pPr>
            <w:r>
              <w:rPr>
                <w:rFonts w:hint="eastAsia"/>
                <w:bCs/>
                <w:color w:val="000000"/>
                <w:szCs w:val="21"/>
              </w:rPr>
              <w:t>具有语音识别模板，可以自动识别普通话，识别正确率在95%以上，并自动匹配化学品相关信息，通过语音录入相关化学品，语音和手动录入可自由切换。</w:t>
            </w:r>
          </w:p>
          <w:p>
            <w:pPr>
              <w:pStyle w:val="4"/>
              <w:numPr>
                <w:ilvl w:val="1"/>
                <w:numId w:val="2"/>
              </w:numPr>
              <w:spacing w:line="360" w:lineRule="auto"/>
              <w:jc w:val="left"/>
              <w:rPr>
                <w:bCs/>
                <w:color w:val="000000"/>
                <w:szCs w:val="21"/>
              </w:rPr>
            </w:pPr>
            <w:r>
              <w:rPr>
                <w:rFonts w:hint="eastAsia"/>
                <w:bCs/>
                <w:color w:val="000000"/>
                <w:szCs w:val="21"/>
              </w:rPr>
              <w:t xml:space="preserve"> 可通过CAS号模糊录入，即通过语音录入化学品/CAS号，即可查找出对应的化学品信息。</w:t>
            </w:r>
          </w:p>
          <w:p>
            <w:pPr>
              <w:pStyle w:val="4"/>
              <w:numPr>
                <w:ilvl w:val="1"/>
                <w:numId w:val="2"/>
              </w:numPr>
              <w:spacing w:line="360" w:lineRule="auto"/>
              <w:jc w:val="left"/>
              <w:rPr>
                <w:bCs/>
                <w:color w:val="000000"/>
                <w:szCs w:val="21"/>
              </w:rPr>
            </w:pPr>
            <w:r>
              <w:rPr>
                <w:rFonts w:hint="eastAsia"/>
                <w:bCs/>
                <w:color w:val="000000"/>
                <w:szCs w:val="21"/>
              </w:rPr>
              <w:t>二维码生成模块，自动生产单瓶化学品试剂的唯一二维码，不能重复；可使用用手机支付宝，微信，浏览器扫试剂瓶上的二维码，可以看到相关试剂的全部信息。</w:t>
            </w:r>
          </w:p>
          <w:p>
            <w:pPr>
              <w:pStyle w:val="4"/>
              <w:numPr>
                <w:ilvl w:val="1"/>
                <w:numId w:val="2"/>
              </w:numPr>
              <w:spacing w:line="360" w:lineRule="auto"/>
              <w:jc w:val="left"/>
              <w:rPr>
                <w:bCs/>
                <w:color w:val="000000"/>
                <w:szCs w:val="21"/>
              </w:rPr>
            </w:pPr>
            <w:r>
              <w:rPr>
                <w:rFonts w:hint="eastAsia" w:ascii="宋体" w:hAnsi="宋体"/>
                <w:b/>
                <w:color w:val="000000"/>
                <w:sz w:val="24"/>
              </w:rPr>
              <w:t xml:space="preserve"> </w:t>
            </w:r>
            <w:r>
              <w:rPr>
                <w:rFonts w:hint="eastAsia"/>
                <w:bCs/>
                <w:color w:val="000000"/>
                <w:szCs w:val="21"/>
              </w:rPr>
              <w:t>批量录入同样的规格、名称、纯度、剂量的试剂可以一次性生成多个二维码，不少于20个一次，且二维码不一样。</w:t>
            </w:r>
          </w:p>
        </w:tc>
        <w:tc>
          <w:tcPr>
            <w:tcW w:w="1341" w:type="dxa"/>
            <w:shd w:val="clear" w:color="auto" w:fill="FFFFFF"/>
            <w:vAlign w:val="center"/>
          </w:tcPr>
          <w:p>
            <w:pPr>
              <w:spacing w:line="360" w:lineRule="auto"/>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shd w:val="clear" w:color="auto" w:fill="auto"/>
            <w:vAlign w:val="center"/>
          </w:tcPr>
          <w:p>
            <w:pPr>
              <w:spacing w:line="360" w:lineRule="auto"/>
              <w:jc w:val="center"/>
              <w:rPr>
                <w:b/>
                <w:color w:val="000000"/>
                <w:szCs w:val="21"/>
                <w:lang w:val="zh-CN"/>
              </w:rPr>
            </w:pPr>
            <w:r>
              <w:rPr>
                <w:rFonts w:hint="eastAsia"/>
                <w:b/>
                <w:color w:val="000000"/>
                <w:szCs w:val="21"/>
                <w:lang w:val="zh-CN"/>
              </w:rPr>
              <w:t>2</w:t>
            </w:r>
          </w:p>
        </w:tc>
        <w:tc>
          <w:tcPr>
            <w:tcW w:w="1066" w:type="dxa"/>
            <w:shd w:val="clear" w:color="auto" w:fill="FFFFFF"/>
            <w:vAlign w:val="center"/>
          </w:tcPr>
          <w:p>
            <w:pPr>
              <w:spacing w:line="360" w:lineRule="auto"/>
              <w:jc w:val="center"/>
              <w:rPr>
                <w:bCs/>
                <w:color w:val="000000"/>
                <w:szCs w:val="21"/>
              </w:rPr>
            </w:pPr>
            <w:r>
              <w:rPr>
                <w:rFonts w:hint="eastAsia"/>
                <w:bCs/>
                <w:color w:val="000000"/>
                <w:szCs w:val="21"/>
              </w:rPr>
              <w:t>实验室化学品管理系统</w:t>
            </w:r>
          </w:p>
        </w:tc>
        <w:tc>
          <w:tcPr>
            <w:tcW w:w="5260" w:type="dxa"/>
            <w:shd w:val="clear" w:color="auto" w:fill="FFFFFF"/>
            <w:vAlign w:val="center"/>
          </w:tcPr>
          <w:p>
            <w:pPr>
              <w:spacing w:line="440" w:lineRule="exact"/>
              <w:jc w:val="left"/>
              <w:rPr>
                <w:bCs/>
                <w:color w:val="000000"/>
                <w:szCs w:val="21"/>
              </w:rPr>
            </w:pPr>
            <w:r>
              <w:rPr>
                <w:rFonts w:hint="eastAsia"/>
                <w:bCs/>
                <w:color w:val="000000"/>
                <w:szCs w:val="21"/>
              </w:rPr>
              <w:t>2-1 与盘点系统用户信息匹配，对实验室组织架构及成员信息进行管理，需要认证通过才能使用“小程序”，保证实验室信息安全；</w:t>
            </w:r>
          </w:p>
          <w:p>
            <w:pPr>
              <w:spacing w:line="440" w:lineRule="exact"/>
              <w:jc w:val="left"/>
              <w:rPr>
                <w:bCs/>
                <w:color w:val="000000"/>
                <w:szCs w:val="21"/>
              </w:rPr>
            </w:pPr>
            <w:r>
              <w:rPr>
                <w:rFonts w:hint="eastAsia"/>
                <w:bCs/>
                <w:color w:val="000000"/>
                <w:szCs w:val="21"/>
              </w:rPr>
              <w:t>2-2实验室管理员有权限对实验室发布公告、实验室基础信息、本周实验项目、环境检测、试剂情况等内容进行查看和管理。</w:t>
            </w:r>
          </w:p>
          <w:p>
            <w:pPr>
              <w:spacing w:line="440" w:lineRule="exact"/>
              <w:jc w:val="left"/>
              <w:rPr>
                <w:bCs/>
                <w:color w:val="000000"/>
                <w:szCs w:val="21"/>
              </w:rPr>
            </w:pPr>
            <w:r>
              <w:rPr>
                <w:rFonts w:hint="eastAsia"/>
                <w:bCs/>
                <w:color w:val="000000"/>
                <w:szCs w:val="21"/>
              </w:rPr>
              <w:t>2-3 试剂管理：主要对危化品进行入库、使用、回收、库存的管理。试剂管理包含仓库管理员端的试剂入库、领用管理、库存管理、回收记录，实验员端的试剂申领、危废回收。做到全过程监管，责任到人，可溯源。</w:t>
            </w:r>
          </w:p>
          <w:p>
            <w:pPr>
              <w:spacing w:line="440" w:lineRule="exact"/>
              <w:jc w:val="left"/>
              <w:rPr>
                <w:bCs/>
                <w:color w:val="000000"/>
                <w:szCs w:val="21"/>
              </w:rPr>
            </w:pPr>
            <w:r>
              <w:rPr>
                <w:rFonts w:hint="eastAsia"/>
                <w:bCs/>
                <w:color w:val="000000"/>
                <w:szCs w:val="21"/>
              </w:rPr>
              <w:t>2-4审批管理，对于管制类化学品，领用需要经过相应管理责任人审核才可领用。可与目前学校钉钉相关审批流程对接，或者申领时可上传钉钉/OA相关审批流程文件作为申领凭证进行相关管制类化学品申领。</w:t>
            </w:r>
          </w:p>
          <w:p>
            <w:pPr>
              <w:spacing w:line="440" w:lineRule="exact"/>
              <w:jc w:val="left"/>
              <w:rPr>
                <w:bCs/>
                <w:color w:val="000000"/>
                <w:szCs w:val="21"/>
              </w:rPr>
            </w:pPr>
            <w:r>
              <w:rPr>
                <w:rFonts w:hint="eastAsia"/>
                <w:bCs/>
                <w:color w:val="000000"/>
                <w:szCs w:val="21"/>
              </w:rPr>
              <w:t>2-5 预警管理。</w:t>
            </w:r>
          </w:p>
          <w:p>
            <w:pPr>
              <w:spacing w:line="440" w:lineRule="exact"/>
              <w:jc w:val="left"/>
              <w:rPr>
                <w:bCs/>
                <w:color w:val="000000"/>
                <w:szCs w:val="21"/>
              </w:rPr>
            </w:pPr>
            <w:r>
              <w:rPr>
                <w:rFonts w:hint="eastAsia"/>
                <w:bCs/>
                <w:color w:val="000000"/>
                <w:szCs w:val="21"/>
              </w:rPr>
              <w:t>2-5-1可对实验室化学品管理安全隐患进行预防和及时发现。预警包含多种内容：领用预警、回收预警、混放预警、库存预警等。</w:t>
            </w:r>
          </w:p>
          <w:p>
            <w:pPr>
              <w:spacing w:line="440" w:lineRule="exact"/>
              <w:jc w:val="left"/>
              <w:rPr>
                <w:bCs/>
                <w:color w:val="000000"/>
                <w:szCs w:val="21"/>
              </w:rPr>
            </w:pPr>
            <w:r>
              <w:rPr>
                <w:rFonts w:hint="eastAsia"/>
                <w:bCs/>
                <w:color w:val="000000"/>
                <w:szCs w:val="21"/>
              </w:rPr>
              <w:t>2-5-2 可设置实验室试剂强制回库，报废预警，对于某实验室超过3年以上没有任何使用登记的试剂进行强制回库/报废预警，预警可在手机端发送该实验室所有使用人。</w:t>
            </w:r>
          </w:p>
          <w:p>
            <w:pPr>
              <w:spacing w:line="440" w:lineRule="exact"/>
              <w:jc w:val="left"/>
              <w:rPr>
                <w:bCs/>
                <w:color w:val="000000"/>
                <w:szCs w:val="21"/>
              </w:rPr>
            </w:pPr>
            <w:r>
              <w:rPr>
                <w:rFonts w:hint="eastAsia"/>
                <w:bCs/>
                <w:color w:val="000000"/>
                <w:szCs w:val="21"/>
              </w:rPr>
              <w:t>2-5-3 根据不同化学品管制类学校管理文件要求，对于易制爆，易制毒化学品同一化学品，各分实验室存量不得超过文件要求，如有存量管制类化学品未使用，或者未使用登记，领用时应预警提示，并且不能完成试剂申领。</w:t>
            </w:r>
          </w:p>
          <w:p>
            <w:pPr>
              <w:spacing w:line="440" w:lineRule="exact"/>
              <w:jc w:val="left"/>
              <w:rPr>
                <w:bCs/>
                <w:color w:val="000000"/>
                <w:szCs w:val="21"/>
              </w:rPr>
            </w:pPr>
            <w:r>
              <w:rPr>
                <w:rFonts w:hint="eastAsia"/>
                <w:bCs/>
                <w:color w:val="000000"/>
                <w:szCs w:val="21"/>
              </w:rPr>
              <w:t>2-5-4 可设置一般危化品及普通化学品，各实验室/课题组存量上限，若各实验室相关化学品接近存量上限，系统应提示使用人化学品存量情况，提示使用人及时更新相关化学品使用数据，接近存量上限的化学品不予录入该实验室化学品库。</w:t>
            </w:r>
          </w:p>
          <w:p>
            <w:pPr>
              <w:spacing w:line="440" w:lineRule="exact"/>
              <w:jc w:val="left"/>
              <w:rPr>
                <w:bCs/>
                <w:color w:val="000000"/>
                <w:szCs w:val="21"/>
              </w:rPr>
            </w:pPr>
            <w:r>
              <w:rPr>
                <w:rFonts w:hint="eastAsia"/>
                <w:bCs/>
                <w:color w:val="000000"/>
                <w:szCs w:val="21"/>
              </w:rPr>
              <w:t>2-6 化学品查询和调剂，高级管理人员可查询各实验室内所有化学品存量及使用情况，一般危化品和普通化学品可实现实验室内简单调剂，各实验室负责人可根据实际需求设置相关化学品查询隐私，未设置隐私的化学品所有实验室负责人可查询存量情况，方便各实验室间试剂调剂，节约试剂采购，有效避免重复采购。</w:t>
            </w:r>
          </w:p>
          <w:p>
            <w:pPr>
              <w:spacing w:line="440" w:lineRule="exact"/>
              <w:jc w:val="left"/>
              <w:rPr>
                <w:bCs/>
                <w:color w:val="000000"/>
                <w:szCs w:val="21"/>
              </w:rPr>
            </w:pPr>
            <w:r>
              <w:rPr>
                <w:rFonts w:hint="eastAsia"/>
                <w:bCs/>
                <w:color w:val="000000"/>
                <w:szCs w:val="21"/>
              </w:rPr>
              <w:t>2-7 可根据危化品专用二维码标签，可以全程追溯。</w:t>
            </w:r>
          </w:p>
          <w:p>
            <w:pPr>
              <w:spacing w:line="440" w:lineRule="exact"/>
              <w:jc w:val="left"/>
              <w:rPr>
                <w:bCs/>
                <w:color w:val="000000"/>
                <w:szCs w:val="21"/>
              </w:rPr>
            </w:pPr>
            <w:r>
              <w:rPr>
                <w:rFonts w:hint="eastAsia"/>
                <w:bCs/>
                <w:color w:val="000000"/>
                <w:szCs w:val="21"/>
              </w:rPr>
              <w:t>2-8 系统具备简单废弃物管理模块，可实现废弃物存量统计，出入库等功能，后期可对接精细实验室废弃物管理系统。</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shd w:val="clear" w:color="auto" w:fill="auto"/>
            <w:vAlign w:val="center"/>
          </w:tcPr>
          <w:p>
            <w:pPr>
              <w:spacing w:line="360" w:lineRule="auto"/>
              <w:jc w:val="center"/>
              <w:rPr>
                <w:b/>
                <w:color w:val="000000"/>
                <w:szCs w:val="21"/>
                <w:lang w:val="zh-CN"/>
              </w:rPr>
            </w:pPr>
            <w:r>
              <w:rPr>
                <w:rFonts w:hint="eastAsia"/>
                <w:b/>
                <w:color w:val="000000"/>
                <w:szCs w:val="21"/>
                <w:lang w:val="zh-CN"/>
              </w:rPr>
              <w:t>3</w:t>
            </w:r>
          </w:p>
        </w:tc>
        <w:tc>
          <w:tcPr>
            <w:tcW w:w="1066" w:type="dxa"/>
            <w:shd w:val="clear" w:color="auto" w:fill="FFFFFF"/>
            <w:vAlign w:val="center"/>
          </w:tcPr>
          <w:p>
            <w:pPr>
              <w:spacing w:line="360" w:lineRule="auto"/>
              <w:jc w:val="center"/>
              <w:rPr>
                <w:color w:val="000000"/>
                <w:szCs w:val="21"/>
                <w:lang w:val="zh-CN"/>
              </w:rPr>
            </w:pPr>
            <w:r>
              <w:rPr>
                <w:rFonts w:hint="eastAsia"/>
                <w:color w:val="000000"/>
                <w:szCs w:val="21"/>
                <w:lang w:val="zh-CN"/>
              </w:rPr>
              <w:t>硬件及其它</w:t>
            </w:r>
          </w:p>
        </w:tc>
        <w:tc>
          <w:tcPr>
            <w:tcW w:w="5260" w:type="dxa"/>
            <w:shd w:val="clear" w:color="auto" w:fill="FFFFFF"/>
            <w:vAlign w:val="center"/>
          </w:tcPr>
          <w:p>
            <w:pPr>
              <w:spacing w:line="440" w:lineRule="exact"/>
              <w:jc w:val="left"/>
              <w:rPr>
                <w:bCs/>
                <w:color w:val="000000"/>
                <w:szCs w:val="21"/>
              </w:rPr>
            </w:pPr>
            <w:r>
              <w:rPr>
                <w:rFonts w:hint="eastAsia"/>
                <w:bCs/>
                <w:color w:val="000000"/>
                <w:szCs w:val="21"/>
              </w:rPr>
              <w:t>3-1 配套盘点器B型（手持终端）</w:t>
            </w:r>
          </w:p>
          <w:p>
            <w:pPr>
              <w:spacing w:line="440" w:lineRule="exact"/>
              <w:jc w:val="left"/>
              <w:rPr>
                <w:bCs/>
                <w:color w:val="000000"/>
                <w:szCs w:val="21"/>
              </w:rPr>
            </w:pPr>
            <w:r>
              <w:rPr>
                <w:rFonts w:hint="eastAsia"/>
                <w:bCs/>
                <w:color w:val="000000"/>
                <w:szCs w:val="21"/>
              </w:rPr>
              <w:t>3-1-1 配置不少于10套配套盘点器B型（手持终端），可进行热转印二维码打印，不得采用热敏纸打印模式</w:t>
            </w:r>
          </w:p>
          <w:p>
            <w:pPr>
              <w:spacing w:line="440" w:lineRule="exact"/>
              <w:jc w:val="left"/>
              <w:rPr>
                <w:bCs/>
                <w:color w:val="000000"/>
                <w:szCs w:val="21"/>
              </w:rPr>
            </w:pPr>
            <w:r>
              <w:rPr>
                <w:rFonts w:hint="eastAsia"/>
                <w:bCs/>
                <w:color w:val="000000"/>
                <w:szCs w:val="21"/>
              </w:rPr>
              <w:t>3-1-2 所使用热转印二维码标签耐酸碱腐蚀环境，一般情况下可做到2年以上不褪色，不被腐蚀。</w:t>
            </w:r>
          </w:p>
          <w:p>
            <w:pPr>
              <w:spacing w:line="440" w:lineRule="exact"/>
              <w:jc w:val="left"/>
              <w:rPr>
                <w:bCs/>
                <w:color w:val="000000"/>
                <w:szCs w:val="21"/>
              </w:rPr>
            </w:pPr>
            <w:r>
              <w:rPr>
                <w:rFonts w:hint="eastAsia"/>
                <w:bCs/>
                <w:color w:val="000000"/>
                <w:szCs w:val="21"/>
              </w:rPr>
              <w:t>3-1-3 盘点器使用2000mAh以上锂电池，可反复充电，至少可连续打印三个小时以上，电池可简单拆卸更换。</w:t>
            </w:r>
          </w:p>
          <w:p>
            <w:pPr>
              <w:spacing w:line="440" w:lineRule="exact"/>
              <w:jc w:val="left"/>
              <w:rPr>
                <w:bCs/>
                <w:color w:val="000000"/>
                <w:szCs w:val="21"/>
              </w:rPr>
            </w:pPr>
            <w:r>
              <w:rPr>
                <w:rFonts w:hint="eastAsia"/>
                <w:bCs/>
                <w:color w:val="000000"/>
                <w:szCs w:val="21"/>
              </w:rPr>
              <w:t>3-1-4 可与普通安卓版智能手机，实现蓝牙匹配。</w:t>
            </w:r>
          </w:p>
        </w:tc>
        <w:tc>
          <w:tcPr>
            <w:tcW w:w="1341"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vAlign w:val="center"/>
          </w:tcPr>
          <w:p>
            <w:pPr>
              <w:spacing w:line="360" w:lineRule="auto"/>
              <w:jc w:val="center"/>
              <w:rPr>
                <w:b/>
                <w:color w:val="000000"/>
                <w:szCs w:val="21"/>
                <w:lang w:val="zh-CN"/>
              </w:rPr>
            </w:pPr>
            <w:r>
              <w:rPr>
                <w:rFonts w:hint="eastAsia"/>
                <w:b/>
                <w:color w:val="000000"/>
                <w:szCs w:val="21"/>
                <w:lang w:val="zh-CN"/>
              </w:rPr>
              <w:t>4</w:t>
            </w:r>
          </w:p>
        </w:tc>
        <w:tc>
          <w:tcPr>
            <w:tcW w:w="1066" w:type="dxa"/>
            <w:vAlign w:val="center"/>
          </w:tcPr>
          <w:p>
            <w:pPr>
              <w:spacing w:line="360" w:lineRule="auto"/>
              <w:jc w:val="center"/>
              <w:rPr>
                <w:color w:val="000000"/>
                <w:szCs w:val="21"/>
                <w:lang w:val="zh-CN"/>
              </w:rPr>
            </w:pPr>
            <w:r>
              <w:rPr>
                <w:rFonts w:hint="eastAsia"/>
                <w:color w:val="000000"/>
                <w:szCs w:val="21"/>
                <w:lang w:val="zh-CN"/>
              </w:rPr>
              <w:t>系统技术规范</w:t>
            </w:r>
          </w:p>
        </w:tc>
        <w:tc>
          <w:tcPr>
            <w:tcW w:w="5260" w:type="dxa"/>
            <w:vAlign w:val="center"/>
          </w:tcPr>
          <w:p>
            <w:pPr>
              <w:spacing w:line="440" w:lineRule="exact"/>
              <w:jc w:val="left"/>
              <w:rPr>
                <w:color w:val="000000"/>
                <w:szCs w:val="21"/>
              </w:rPr>
            </w:pPr>
            <w:r>
              <w:rPr>
                <w:rFonts w:hint="eastAsia"/>
                <w:color w:val="000000"/>
                <w:szCs w:val="21"/>
              </w:rPr>
              <w:t>4-1 系统平台分为 PC端和移动端，PC端采用的是B/S架构，支持分布式办公。实现了客户端零安装，零维护，4-2 PC端支持当前主流浏览器（IE，Chrome，360等）直接实现远程访问。</w:t>
            </w:r>
          </w:p>
          <w:p>
            <w:pPr>
              <w:spacing w:line="440" w:lineRule="exact"/>
              <w:jc w:val="left"/>
              <w:rPr>
                <w:color w:val="000000"/>
                <w:szCs w:val="21"/>
              </w:rPr>
            </w:pPr>
            <w:r>
              <w:rPr>
                <w:rFonts w:hint="eastAsia"/>
                <w:color w:val="000000"/>
                <w:szCs w:val="21"/>
              </w:rPr>
              <w:t>4-3移动端采用的是微信小程序，不需重新下载 APP，即开即用。</w:t>
            </w:r>
          </w:p>
          <w:p>
            <w:pPr>
              <w:rPr>
                <w:color w:val="000000"/>
                <w:szCs w:val="21"/>
              </w:rPr>
            </w:pPr>
            <w:r>
              <w:rPr>
                <w:rFonts w:hint="eastAsia"/>
                <w:color w:val="000000"/>
                <w:szCs w:val="21"/>
              </w:rPr>
              <w:t xml:space="preserve">4-4 </w:t>
            </w:r>
            <w:r>
              <w:rPr>
                <w:rFonts w:hint="eastAsia"/>
              </w:rPr>
              <w:t>系统平台多应用服务器支持，</w:t>
            </w:r>
            <w:r>
              <w:rPr>
                <w:rFonts w:hint="eastAsia"/>
                <w:color w:val="000000"/>
                <w:szCs w:val="21"/>
              </w:rPr>
              <w:t>默认环境使用的是Nginx+Undertow，根据业主使用规模以及并发量的大小，可以选用其他的 Java应用容器服务，如：</w:t>
            </w:r>
          </w:p>
          <w:p>
            <w:pPr>
              <w:spacing w:line="440" w:lineRule="exact"/>
              <w:jc w:val="left"/>
              <w:rPr>
                <w:color w:val="000000"/>
                <w:szCs w:val="21"/>
              </w:rPr>
            </w:pPr>
            <w:r>
              <w:rPr>
                <w:color w:val="000000"/>
                <w:szCs w:val="21"/>
              </w:rPr>
              <w:t>Tomcat</w:t>
            </w:r>
            <w:r>
              <w:rPr>
                <w:rFonts w:hint="eastAsia"/>
                <w:color w:val="000000"/>
                <w:szCs w:val="21"/>
              </w:rPr>
              <w:t>、</w:t>
            </w:r>
            <w:r>
              <w:rPr>
                <w:color w:val="000000"/>
                <w:szCs w:val="21"/>
              </w:rPr>
              <w:t>Undertow</w:t>
            </w:r>
            <w:r>
              <w:rPr>
                <w:rFonts w:hint="eastAsia"/>
                <w:color w:val="000000"/>
                <w:szCs w:val="21"/>
              </w:rPr>
              <w:t>、</w:t>
            </w:r>
            <w:r>
              <w:rPr>
                <w:color w:val="000000"/>
                <w:szCs w:val="21"/>
              </w:rPr>
              <w:t>Weblogic</w:t>
            </w:r>
            <w:r>
              <w:rPr>
                <w:rFonts w:hint="eastAsia"/>
                <w:color w:val="000000"/>
                <w:szCs w:val="21"/>
              </w:rPr>
              <w:t>、</w:t>
            </w:r>
            <w:r>
              <w:rPr>
                <w:color w:val="000000"/>
                <w:szCs w:val="21"/>
              </w:rPr>
              <w:t>Resin</w:t>
            </w:r>
            <w:r>
              <w:rPr>
                <w:rFonts w:hint="eastAsia"/>
                <w:color w:val="000000"/>
                <w:szCs w:val="21"/>
              </w:rPr>
              <w:t>等。</w:t>
            </w:r>
          </w:p>
        </w:tc>
        <w:tc>
          <w:tcPr>
            <w:tcW w:w="1341" w:type="dxa"/>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1.提供各使用角色详细操作说明书/使用演示小视频等。</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rFonts w:hint="eastAsia" w:ascii="宋体" w:hAnsi="宋体" w:cs="宋体"/>
          <w:color w:val="000000"/>
          <w:sz w:val="24"/>
        </w:rPr>
        <w:t>2.培训：设备</w:t>
      </w:r>
      <w:r>
        <w:rPr>
          <w:color w:val="000000"/>
          <w:sz w:val="24"/>
        </w:rPr>
        <w:t>投标方在招标方现场（或者投标方的培训中心）完成招标方操作人员的培训，专业培训产品经理1人，培训时间为</w:t>
      </w:r>
      <w:r>
        <w:rPr>
          <w:rFonts w:hint="eastAsia"/>
          <w:color w:val="000000"/>
          <w:sz w:val="24"/>
        </w:rPr>
        <w:t>2-3</w:t>
      </w:r>
      <w:r>
        <w:rPr>
          <w:color w:val="000000"/>
          <w:sz w:val="24"/>
        </w:rPr>
        <w:t>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sz w:val="24"/>
        </w:rPr>
        <w:t>60天内完成供货，质保期</w:t>
      </w:r>
      <w:r>
        <w:rPr>
          <w:rFonts w:hint="eastAsia"/>
          <w:b/>
          <w:bCs/>
          <w:sz w:val="24"/>
        </w:rPr>
        <w:t>三</w:t>
      </w:r>
      <w:r>
        <w:rPr>
          <w:b/>
          <w:bCs/>
          <w:sz w:val="24"/>
        </w:rPr>
        <w:t>年，</w:t>
      </w:r>
      <w:r>
        <w:rPr>
          <w:b/>
          <w:bCs/>
          <w:color w:val="000000"/>
          <w:sz w:val="24"/>
        </w:rPr>
        <w:t>自项目验收合格之日起计算。</w:t>
      </w:r>
    </w:p>
    <w:p>
      <w:pPr>
        <w:spacing w:line="360" w:lineRule="auto"/>
        <w:ind w:firstLine="480" w:firstLineChars="200"/>
        <w:rPr>
          <w:color w:val="000000"/>
          <w:sz w:val="24"/>
        </w:rPr>
      </w:pPr>
      <w:bookmarkStart w:id="5" w:name="_Hlk66699712"/>
      <w:r>
        <w:rPr>
          <w:rFonts w:hint="eastAsia" w:ascii="宋体" w:hAnsi="宋体" w:cs="宋体"/>
          <w:color w:val="000000" w:themeColor="text1"/>
          <w:sz w:val="24"/>
          <w14:textFill>
            <w14:solidFill>
              <w14:schemeClr w14:val="tx1"/>
            </w14:solidFill>
          </w14:textFill>
        </w:rPr>
        <w:t>2.缴纳履约保证金后，分两次付款。在合同签订、人员进场工作一个月内</w:t>
      </w:r>
      <w:r>
        <w:rPr>
          <w:color w:val="000000" w:themeColor="text1"/>
          <w:sz w:val="24"/>
          <w14:textFill>
            <w14:solidFill>
              <w14:schemeClr w14:val="tx1"/>
            </w14:solidFill>
          </w14:textFill>
        </w:rPr>
        <w:t>支付合同总金额的30%；在项目完成并验收合格后10个工作日内支付合同余款。自验收合格之日起计壹年后履约保证金全额无息退还。</w:t>
      </w:r>
      <w:bookmarkEnd w:id="5"/>
    </w:p>
    <w:p>
      <w:pPr>
        <w:widowControl/>
        <w:spacing w:line="360" w:lineRule="auto"/>
        <w:ind w:firstLine="482" w:firstLineChars="200"/>
        <w:jc w:val="left"/>
        <w:rPr>
          <w:b/>
          <w:kern w:val="0"/>
          <w:sz w:val="24"/>
        </w:rPr>
      </w:pPr>
      <w:r>
        <w:rPr>
          <w:b/>
          <w:bCs/>
          <w:sz w:val="24"/>
        </w:rPr>
        <w:t>注：</w:t>
      </w:r>
    </w:p>
    <w:p>
      <w:pPr>
        <w:spacing w:line="360" w:lineRule="auto"/>
        <w:ind w:firstLine="480" w:firstLineChars="200"/>
        <w:rPr>
          <w:b/>
          <w:color w:val="000000"/>
          <w:kern w:val="0"/>
          <w:sz w:val="24"/>
        </w:rPr>
      </w:pPr>
      <w:r>
        <w:rPr>
          <w:rFonts w:hint="eastAsia"/>
          <w:color w:val="000000"/>
          <w:sz w:val="24"/>
        </w:rPr>
        <w:t>1</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rPr>
        <w:t>2</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500" w:lineRule="exact"/>
        <w:jc w:val="center"/>
        <w:rPr>
          <w:rFonts w:ascii="宋体" w:hAnsi="宋体"/>
          <w:b/>
          <w:color w:val="000000"/>
          <w:sz w:val="24"/>
        </w:rPr>
      </w:pPr>
      <w:r>
        <w:rPr>
          <w:rFonts w:hint="eastAsia"/>
          <w:b/>
          <w:color w:val="000000"/>
          <w:sz w:val="32"/>
          <w:szCs w:val="32"/>
        </w:rPr>
        <w:t>实验室化学品盘点及管理系统采购合同</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甲  方：衢州学院                          乙方：</w:t>
      </w:r>
    </w:p>
    <w:p>
      <w:pPr>
        <w:spacing w:line="360" w:lineRule="auto"/>
        <w:rPr>
          <w:rFonts w:ascii="宋体" w:hAnsi="宋体"/>
          <w:color w:val="000000"/>
          <w:sz w:val="24"/>
        </w:rPr>
      </w:pPr>
      <w:r>
        <w:rPr>
          <w:rFonts w:hint="eastAsia" w:ascii="宋体" w:hAnsi="宋体"/>
          <w:color w:val="000000"/>
          <w:sz w:val="24"/>
        </w:rPr>
        <w:t>地址：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hint="eastAsia" w:ascii="宋体" w:hAnsi="宋体"/>
          <w:color w:val="000000"/>
          <w:sz w:val="24"/>
        </w:rPr>
        <w:t xml:space="preserve">               地址：</w:t>
      </w:r>
    </w:p>
    <w:p>
      <w:pPr>
        <w:spacing w:line="360" w:lineRule="auto"/>
        <w:rPr>
          <w:rFonts w:ascii="宋体" w:hAnsi="宋体"/>
          <w:color w:val="000000"/>
          <w:sz w:val="24"/>
        </w:rPr>
      </w:pPr>
      <w:r>
        <w:rPr>
          <w:rFonts w:hint="eastAsia" w:ascii="宋体" w:hAnsi="宋体"/>
          <w:color w:val="000000"/>
          <w:sz w:val="24"/>
        </w:rPr>
        <w:t>邮编：</w:t>
      </w:r>
      <w:r>
        <w:rPr>
          <w:rFonts w:ascii="宋体" w:hAnsi="宋体"/>
          <w:color w:val="000000"/>
          <w:sz w:val="24"/>
        </w:rPr>
        <w:t xml:space="preserve">324000                    </w:t>
      </w:r>
      <w:r>
        <w:rPr>
          <w:rFonts w:hint="eastAsia" w:ascii="宋体" w:hAnsi="宋体"/>
          <w:color w:val="000000"/>
          <w:sz w:val="24"/>
        </w:rPr>
        <w:t xml:space="preserve">          邮编：</w:t>
      </w:r>
    </w:p>
    <w:p>
      <w:pPr>
        <w:spacing w:line="360" w:lineRule="auto"/>
        <w:rPr>
          <w:rFonts w:ascii="宋体" w:hAnsi="宋体"/>
          <w:color w:val="000000"/>
          <w:sz w:val="24"/>
        </w:rPr>
      </w:pPr>
      <w:r>
        <w:rPr>
          <w:rFonts w:hint="eastAsia" w:ascii="宋体" w:hAnsi="宋体"/>
          <w:color w:val="000000"/>
          <w:sz w:val="24"/>
        </w:rPr>
        <w:t>联系人：                                  联系人：</w:t>
      </w:r>
    </w:p>
    <w:p>
      <w:pPr>
        <w:spacing w:line="360" w:lineRule="auto"/>
        <w:rPr>
          <w:rFonts w:ascii="宋体" w:hAnsi="宋体"/>
          <w:color w:val="000000"/>
          <w:sz w:val="24"/>
        </w:rPr>
      </w:pPr>
      <w:r>
        <w:rPr>
          <w:rFonts w:hint="eastAsia" w:ascii="宋体" w:hAnsi="宋体"/>
          <w:color w:val="000000"/>
          <w:sz w:val="24"/>
        </w:rPr>
        <w:t>电话：                                    电话：</w:t>
      </w:r>
    </w:p>
    <w:p>
      <w:pPr>
        <w:spacing w:line="360" w:lineRule="auto"/>
        <w:jc w:val="right"/>
        <w:rPr>
          <w:rFonts w:ascii="宋体" w:hAnsi="宋体"/>
          <w:color w:val="000000"/>
          <w:sz w:val="24"/>
        </w:rPr>
      </w:pPr>
      <w:r>
        <w:rPr>
          <w:rFonts w:hint="eastAsia" w:ascii="宋体" w:hAnsi="宋体"/>
          <w:color w:val="000000"/>
          <w:sz w:val="24"/>
        </w:rPr>
        <w:t>签约地点：浙江衢州</w:t>
      </w:r>
    </w:p>
    <w:p>
      <w:pPr>
        <w:pStyle w:val="12"/>
        <w:snapToGrid w:val="0"/>
        <w:spacing w:before="0" w:beforeAutospacing="0" w:after="0" w:afterAutospacing="0" w:line="360" w:lineRule="auto"/>
        <w:ind w:firstLine="482"/>
        <w:rPr>
          <w:rFonts w:cs="宋体"/>
        </w:rPr>
      </w:pPr>
      <w:r>
        <w:rPr>
          <w:rFonts w:hint="eastAsia" w:cs="宋体"/>
          <w:b/>
          <w:bCs/>
          <w:color w:val="000000"/>
        </w:rPr>
        <w:t>一、说  明</w:t>
      </w:r>
    </w:p>
    <w:p>
      <w:pPr>
        <w:pStyle w:val="12"/>
        <w:snapToGrid w:val="0"/>
        <w:spacing w:before="0" w:beforeAutospacing="0" w:after="0" w:afterAutospacing="0" w:line="360" w:lineRule="auto"/>
        <w:ind w:firstLine="480"/>
        <w:rPr>
          <w:rFonts w:cs="宋体"/>
        </w:rPr>
      </w:pPr>
      <w:r>
        <w:rPr>
          <w:rFonts w:hint="eastAsia" w:cs="宋体"/>
          <w:color w:val="000000"/>
        </w:rPr>
        <w:t>1.依据《中华人民共和国民法典》的规定，现就甲方向乙方购买</w:t>
      </w:r>
      <w:r>
        <w:rPr>
          <w:rFonts w:hint="eastAsia"/>
          <w:b/>
          <w:bCs/>
          <w:color w:val="000000"/>
        </w:rPr>
        <w:t>实验室化学品盘点及管理系统</w:t>
      </w:r>
      <w:r>
        <w:rPr>
          <w:rFonts w:hint="eastAsia" w:cs="宋体"/>
          <w:color w:val="000000"/>
        </w:rPr>
        <w:t>一批，经双方协商一致本着平等自愿的原则签订本合同。</w:t>
      </w:r>
    </w:p>
    <w:p>
      <w:pPr>
        <w:pStyle w:val="12"/>
        <w:snapToGrid w:val="0"/>
        <w:spacing w:before="0" w:beforeAutospacing="0" w:after="0" w:afterAutospacing="0" w:line="360" w:lineRule="auto"/>
        <w:ind w:firstLine="480"/>
        <w:rPr>
          <w:rFonts w:cs="宋体"/>
        </w:rPr>
      </w:pPr>
      <w:r>
        <w:rPr>
          <w:rFonts w:hint="eastAsia" w:cs="宋体"/>
          <w:color w:val="000000"/>
        </w:rPr>
        <w:t>2.招标文件，投标文件，评标文件,乙方的承诺书均为本合同的附件，与本合同具有同等效力，在本合同无约定或约定不明时均按照执行。</w:t>
      </w:r>
    </w:p>
    <w:p>
      <w:pPr>
        <w:pStyle w:val="12"/>
        <w:snapToGrid w:val="0"/>
        <w:spacing w:before="0" w:beforeAutospacing="0" w:after="0" w:afterAutospacing="0" w:line="360" w:lineRule="auto"/>
        <w:ind w:firstLine="480"/>
        <w:rPr>
          <w:rFonts w:cs="宋体"/>
        </w:rPr>
      </w:pPr>
      <w:r>
        <w:rPr>
          <w:rFonts w:hint="eastAsia" w:cs="宋体"/>
          <w:color w:val="000000"/>
        </w:rPr>
        <w:t>3.乙方履约时应遵循疫情期间相关管理规定。</w:t>
      </w:r>
    </w:p>
    <w:p>
      <w:pPr>
        <w:pStyle w:val="12"/>
        <w:snapToGrid w:val="0"/>
        <w:spacing w:before="0" w:beforeAutospacing="0" w:after="0" w:afterAutospacing="0" w:line="360" w:lineRule="auto"/>
        <w:ind w:firstLine="480"/>
        <w:rPr>
          <w:rFonts w:cs="宋体"/>
        </w:rPr>
      </w:pPr>
      <w:r>
        <w:rPr>
          <w:rFonts w:hint="eastAsia" w:cs="宋体"/>
          <w:color w:val="000000"/>
        </w:rPr>
        <w:t>4.采购商品清单及价格</w:t>
      </w:r>
    </w:p>
    <w:tbl>
      <w:tblPr>
        <w:tblStyle w:val="1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w:t>
            </w:r>
          </w:p>
        </w:tc>
      </w:tr>
    </w:tbl>
    <w:p>
      <w:pPr>
        <w:pStyle w:val="12"/>
        <w:snapToGrid w:val="0"/>
        <w:spacing w:before="0" w:beforeAutospacing="0" w:after="0" w:afterAutospacing="0" w:line="360" w:lineRule="auto"/>
        <w:jc w:val="right"/>
        <w:rPr>
          <w:rFonts w:cs="宋体"/>
        </w:rPr>
      </w:pPr>
      <w:r>
        <w:rPr>
          <w:rFonts w:hint="eastAsia" w:cs="宋体"/>
          <w:color w:val="000000"/>
        </w:rPr>
        <w:t>金额单位：元 </w:t>
      </w:r>
    </w:p>
    <w:p>
      <w:pPr>
        <w:pStyle w:val="12"/>
        <w:snapToGrid w:val="0"/>
        <w:spacing w:before="0" w:beforeAutospacing="0" w:after="0" w:afterAutospacing="0" w:line="360" w:lineRule="auto"/>
        <w:rPr>
          <w:rFonts w:cs="宋体"/>
        </w:rPr>
      </w:pPr>
      <w:r>
        <w:rPr>
          <w:rFonts w:hint="eastAsia" w:cs="宋体"/>
          <w:color w:val="000000"/>
        </w:rPr>
        <w:t>注：（1）商品型号、数量、配置具体要求及使用单位地址等详见附件清单；</w:t>
      </w:r>
    </w:p>
    <w:p>
      <w:pPr>
        <w:pStyle w:val="12"/>
        <w:snapToGrid w:val="0"/>
        <w:spacing w:before="0" w:beforeAutospacing="0" w:after="0" w:afterAutospacing="0" w:line="360" w:lineRule="auto"/>
        <w:ind w:firstLine="480"/>
        <w:rPr>
          <w:rFonts w:cs="宋体"/>
        </w:rPr>
      </w:pPr>
      <w:r>
        <w:rPr>
          <w:rFonts w:hint="eastAsia" w:cs="宋体"/>
          <w:color w:val="000000"/>
        </w:rPr>
        <w:t>（2）以上合同总价包括运费（含搬运）及安装调试费等。</w:t>
      </w:r>
    </w:p>
    <w:p>
      <w:pPr>
        <w:pStyle w:val="12"/>
        <w:widowControl w:val="0"/>
        <w:snapToGrid w:val="0"/>
        <w:spacing w:before="0" w:beforeAutospacing="0" w:after="0" w:afterAutospacing="0" w:line="360" w:lineRule="auto"/>
        <w:ind w:firstLine="482"/>
        <w:rPr>
          <w:rFonts w:cs="宋体"/>
          <w:b/>
          <w:bCs/>
          <w:color w:val="000000"/>
        </w:rPr>
      </w:pPr>
      <w:r>
        <w:rPr>
          <w:rFonts w:hint="eastAsia" w:cs="宋体"/>
          <w:b/>
          <w:bCs/>
          <w:color w:val="000000"/>
        </w:rPr>
        <w:t>二、产品条款</w:t>
      </w:r>
    </w:p>
    <w:p>
      <w:pPr>
        <w:pStyle w:val="12"/>
        <w:widowControl w:val="0"/>
        <w:snapToGrid w:val="0"/>
        <w:spacing w:before="0" w:beforeAutospacing="0" w:after="0" w:afterAutospacing="0" w:line="360" w:lineRule="auto"/>
        <w:ind w:firstLine="482"/>
        <w:rPr>
          <w:rFonts w:cs="宋体"/>
        </w:rPr>
      </w:pPr>
      <w:r>
        <w:rPr>
          <w:rFonts w:hint="eastAsia" w:cs="宋体"/>
          <w:color w:val="000000"/>
        </w:rPr>
        <w:t>本合同没有约定的，甲、乙双方应严格按照招标文件、投标文件及评标专家组确认的产品技术要求、质量标准、数量和交货日期、书面承诺等执行。</w:t>
      </w:r>
    </w:p>
    <w:p>
      <w:pPr>
        <w:pStyle w:val="12"/>
        <w:snapToGrid w:val="0"/>
        <w:spacing w:before="0" w:beforeAutospacing="0" w:after="0" w:afterAutospacing="0" w:line="360" w:lineRule="auto"/>
        <w:ind w:firstLine="482"/>
        <w:jc w:val="both"/>
        <w:rPr>
          <w:rFonts w:cs="宋体"/>
        </w:rPr>
      </w:pPr>
      <w:r>
        <w:rPr>
          <w:rFonts w:hint="eastAsia" w:cs="宋体"/>
          <w:b/>
          <w:bCs/>
          <w:color w:val="000000"/>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napToGrid w:val="0"/>
        <w:spacing w:before="0" w:beforeAutospacing="0" w:after="0" w:afterAutospacing="0" w:line="360" w:lineRule="auto"/>
        <w:ind w:firstLine="482"/>
        <w:rPr>
          <w:rFonts w:cs="宋体"/>
        </w:rPr>
      </w:pPr>
      <w:r>
        <w:rPr>
          <w:rFonts w:hint="eastAsia" w:cs="宋体"/>
          <w:b/>
          <w:bCs/>
          <w:color w:val="000000"/>
        </w:rPr>
        <w:t>四、质量保证</w:t>
      </w:r>
    </w:p>
    <w:p>
      <w:pPr>
        <w:pStyle w:val="12"/>
        <w:snapToGrid w:val="0"/>
        <w:spacing w:before="0" w:beforeAutospacing="0" w:after="0" w:afterAutospacing="0" w:line="360" w:lineRule="auto"/>
        <w:ind w:firstLine="480"/>
        <w:jc w:val="both"/>
        <w:rPr>
          <w:rFonts w:cs="宋体"/>
        </w:rPr>
      </w:pPr>
      <w:r>
        <w:rPr>
          <w:rFonts w:hint="eastAsia" w:cs="宋体"/>
          <w:color w:val="000000"/>
        </w:rPr>
        <w:t>1.乙方提供的产品必须是2021年01月及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before="0" w:beforeAutospacing="0" w:after="0" w:afterAutospacing="0" w:line="360" w:lineRule="auto"/>
        <w:ind w:firstLine="480"/>
        <w:jc w:val="both"/>
        <w:rPr>
          <w:rFonts w:cs="宋体"/>
        </w:rPr>
      </w:pPr>
      <w:r>
        <w:rPr>
          <w:rFonts w:hint="eastAsia" w:cs="宋体"/>
          <w:color w:val="000000"/>
        </w:rPr>
        <w:t>2.乙方提供的产品必须完全符合原厂质量检测标准和国家质量检测标准以及合同规定的质量规格和性能要求，同时为国家规定正规渠道进货的产品。</w:t>
      </w:r>
    </w:p>
    <w:p>
      <w:pPr>
        <w:pStyle w:val="12"/>
        <w:snapToGrid w:val="0"/>
        <w:spacing w:before="0" w:beforeAutospacing="0" w:after="0" w:afterAutospacing="0" w:line="360" w:lineRule="auto"/>
        <w:ind w:firstLine="480"/>
        <w:jc w:val="both"/>
        <w:rPr>
          <w:rFonts w:cs="宋体"/>
        </w:rPr>
      </w:pPr>
      <w:r>
        <w:rPr>
          <w:rFonts w:hint="eastAsia" w:cs="宋体"/>
          <w:color w:val="000000"/>
        </w:rPr>
        <w:t>3.乙方提供对产品的质量保证期为运行验收合格之后36个月。如因甲方原因导致不能及时安装的，产品的质保期自到货</w:t>
      </w:r>
      <w:r>
        <w:rPr>
          <w:rFonts w:hint="eastAsia" w:cs="宋体"/>
          <w:color w:val="FF0000"/>
        </w:rPr>
        <w:t>验收通过</w:t>
      </w:r>
      <w:r>
        <w:rPr>
          <w:rFonts w:hint="eastAsia" w:cs="宋体"/>
          <w:color w:val="000000"/>
        </w:rPr>
        <w:t>之日起1个月后开始计算。质保期内乙方提供免费保修、技术支持和售后服务。</w:t>
      </w:r>
    </w:p>
    <w:p>
      <w:pPr>
        <w:pStyle w:val="12"/>
        <w:snapToGrid w:val="0"/>
        <w:spacing w:before="0" w:beforeAutospacing="0" w:after="0" w:afterAutospacing="0" w:line="360" w:lineRule="auto"/>
        <w:ind w:firstLine="480"/>
        <w:jc w:val="both"/>
        <w:rPr>
          <w:rFonts w:cs="宋体"/>
        </w:rPr>
      </w:pPr>
      <w:r>
        <w:rPr>
          <w:rFonts w:hint="eastAsia" w:cs="宋体"/>
          <w:color w:val="000000"/>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r>
        <w:rPr>
          <w:rFonts w:hint="eastAsia" w:cs="宋体"/>
          <w:color w:val="FF0000"/>
        </w:rPr>
        <w:t>，甲方因追偿产生的律师费用等费用由乙方承担</w:t>
      </w:r>
      <w:r>
        <w:rPr>
          <w:rFonts w:hint="eastAsia" w:cs="宋体"/>
          <w:color w:val="000000"/>
        </w:rPr>
        <w:t>。</w:t>
      </w:r>
    </w:p>
    <w:p>
      <w:pPr>
        <w:pStyle w:val="12"/>
        <w:snapToGrid w:val="0"/>
        <w:spacing w:before="0" w:beforeAutospacing="0" w:after="0" w:afterAutospacing="0" w:line="360" w:lineRule="auto"/>
        <w:ind w:firstLine="482"/>
        <w:rPr>
          <w:rFonts w:cs="宋体"/>
        </w:rPr>
      </w:pPr>
      <w:r>
        <w:rPr>
          <w:rFonts w:hint="eastAsia" w:cs="宋体"/>
          <w:b/>
          <w:bCs/>
          <w:color w:val="000000"/>
        </w:rPr>
        <w:t>五、验收</w:t>
      </w:r>
    </w:p>
    <w:p>
      <w:pPr>
        <w:pStyle w:val="12"/>
        <w:snapToGrid w:val="0"/>
        <w:spacing w:before="0" w:beforeAutospacing="0" w:after="0" w:afterAutospacing="0" w:line="360" w:lineRule="auto"/>
        <w:ind w:firstLine="480"/>
        <w:jc w:val="both"/>
        <w:rPr>
          <w:rFonts w:cs="宋体"/>
        </w:rPr>
      </w:pPr>
      <w:r>
        <w:rPr>
          <w:rFonts w:hint="eastAsia" w:cs="宋体"/>
          <w:color w:val="000000"/>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r>
        <w:rPr>
          <w:rFonts w:hint="eastAsia" w:cs="宋体"/>
          <w:color w:val="FF0000"/>
        </w:rPr>
        <w:t>，经鉴定存在质量问题的，鉴定费用由乙方承担</w:t>
      </w:r>
      <w:r>
        <w:rPr>
          <w:rFonts w:hint="eastAsia" w:cs="宋体"/>
          <w:color w:val="000000"/>
        </w:rPr>
        <w:t>。</w:t>
      </w:r>
    </w:p>
    <w:p>
      <w:pPr>
        <w:pStyle w:val="12"/>
        <w:snapToGrid w:val="0"/>
        <w:spacing w:before="0" w:beforeAutospacing="0" w:after="0" w:afterAutospacing="0" w:line="360" w:lineRule="auto"/>
        <w:ind w:firstLine="480"/>
        <w:jc w:val="both"/>
        <w:rPr>
          <w:rFonts w:cs="宋体"/>
        </w:rPr>
      </w:pPr>
      <w:r>
        <w:rPr>
          <w:rFonts w:hint="eastAsia" w:cs="宋体"/>
          <w:color w:val="000000"/>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w:t>
      </w:r>
      <w:r>
        <w:rPr>
          <w:rFonts w:hint="eastAsia" w:cs="宋体"/>
          <w:color w:val="FF0000"/>
        </w:rPr>
        <w:t>或退货</w:t>
      </w:r>
      <w:r>
        <w:rPr>
          <w:rFonts w:hint="eastAsia" w:cs="宋体"/>
          <w:color w:val="000000"/>
        </w:rPr>
        <w:t>；若发现与合同规定不符的，甲方有权拒绝接受；若乙方人员在验收期间经通知后不能按规定时间到场的，甲方可以单方进行验收，其验收结果乙方无条件认</w:t>
      </w:r>
      <w:r>
        <w:rPr>
          <w:rFonts w:hint="eastAsia" w:cs="宋体"/>
          <w:color w:val="FF0000"/>
        </w:rPr>
        <w:t>可</w:t>
      </w:r>
      <w:r>
        <w:rPr>
          <w:rFonts w:hint="eastAsia" w:cs="宋体"/>
          <w:color w:val="000000"/>
        </w:rPr>
        <w:t>。</w:t>
      </w:r>
    </w:p>
    <w:p>
      <w:pPr>
        <w:pStyle w:val="12"/>
        <w:snapToGrid w:val="0"/>
        <w:spacing w:before="0" w:beforeAutospacing="0" w:after="0" w:afterAutospacing="0" w:line="360" w:lineRule="auto"/>
        <w:ind w:firstLine="480"/>
        <w:jc w:val="both"/>
        <w:rPr>
          <w:rFonts w:cs="宋体"/>
        </w:rPr>
      </w:pPr>
      <w:r>
        <w:rPr>
          <w:rFonts w:hint="eastAsia" w:cs="宋体"/>
          <w:color w:val="000000"/>
        </w:rPr>
        <w:t>3.安装验收：产品经到货验收通过且由乙方进行安装调试完毕后，由乙方协助甲方完成安装试运行验收。产品经安装验收合格次日起7日内，出现非甲方人为因素造成的无法排除的故障则甲方有权退货或要求乙方负责予以整机调换；若其产品技术指标未能达到合同所规定标准或不稳定现象的，则由乙方免费负责予以调试或更换主要零部件。货物安装调试完毕后，甲乙双方共同验收，验收通过后双方签字确认。</w:t>
      </w:r>
    </w:p>
    <w:p>
      <w:pPr>
        <w:pStyle w:val="12"/>
        <w:snapToGrid w:val="0"/>
        <w:spacing w:before="0" w:beforeAutospacing="0" w:after="0" w:afterAutospacing="0" w:line="360" w:lineRule="auto"/>
        <w:ind w:firstLine="480"/>
        <w:jc w:val="both"/>
        <w:rPr>
          <w:rFonts w:cs="宋体"/>
        </w:rPr>
      </w:pPr>
      <w:r>
        <w:rPr>
          <w:rFonts w:hint="eastAsia" w:cs="宋体"/>
          <w:color w:val="000000"/>
        </w:rPr>
        <w:t>4.运行验收：运行验收在安装验收合格后两周内组织实施</w:t>
      </w:r>
      <w:r>
        <w:rPr>
          <w:rFonts w:hint="eastAsia" w:cs="宋体"/>
          <w:color w:val="FF0000"/>
        </w:rPr>
        <w:t>，验收通过后双放签字确认</w:t>
      </w:r>
      <w:r>
        <w:rPr>
          <w:rFonts w:hint="eastAsia" w:cs="宋体"/>
          <w:color w:val="000000"/>
        </w:rPr>
        <w:t>。</w:t>
      </w:r>
    </w:p>
    <w:p>
      <w:pPr>
        <w:pStyle w:val="12"/>
        <w:snapToGrid w:val="0"/>
        <w:spacing w:before="0" w:beforeAutospacing="0" w:after="0" w:afterAutospacing="0" w:line="360" w:lineRule="auto"/>
        <w:ind w:firstLine="480"/>
        <w:jc w:val="both"/>
        <w:rPr>
          <w:rFonts w:cs="宋体"/>
        </w:rPr>
      </w:pPr>
      <w:r>
        <w:rPr>
          <w:rFonts w:hint="eastAsia" w:cs="宋体"/>
          <w:color w:val="000000"/>
        </w:rPr>
        <w:t>5.如货物的质量、规格在质保期内被证明存在缺陷，包括潜在的缺陷或使用不合适的材料，甲方有权凭有关证明文件要求乙方在规定的时间内改进。</w:t>
      </w:r>
    </w:p>
    <w:p>
      <w:pPr>
        <w:pStyle w:val="12"/>
        <w:snapToGrid w:val="0"/>
        <w:spacing w:before="0" w:beforeAutospacing="0" w:after="0" w:afterAutospacing="0" w:line="360" w:lineRule="auto"/>
        <w:ind w:firstLine="482"/>
        <w:rPr>
          <w:rFonts w:cs="宋体"/>
        </w:rPr>
      </w:pPr>
      <w:r>
        <w:rPr>
          <w:rFonts w:hint="eastAsia" w:cs="宋体"/>
          <w:b/>
          <w:bCs/>
          <w:color w:val="000000"/>
        </w:rPr>
        <w:t>六、交付时间及地点</w:t>
      </w:r>
    </w:p>
    <w:p>
      <w:pPr>
        <w:pStyle w:val="12"/>
        <w:snapToGrid w:val="0"/>
        <w:spacing w:before="0" w:beforeAutospacing="0" w:after="0" w:afterAutospacing="0" w:line="360" w:lineRule="auto"/>
        <w:ind w:firstLine="480"/>
        <w:rPr>
          <w:rFonts w:cs="宋体"/>
        </w:rPr>
      </w:pPr>
      <w:r>
        <w:rPr>
          <w:rFonts w:hint="eastAsia" w:cs="宋体"/>
          <w:color w:val="000000"/>
        </w:rPr>
        <w:t>1.合同签订后</w:t>
      </w:r>
      <w:r>
        <w:rPr>
          <w:rFonts w:hint="eastAsia" w:cs="宋体"/>
          <w:b/>
          <w:bCs/>
          <w:color w:val="FF0000"/>
        </w:rPr>
        <w:t>60天</w:t>
      </w:r>
      <w:r>
        <w:rPr>
          <w:rFonts w:hint="eastAsia" w:cs="宋体"/>
          <w:color w:val="000000"/>
        </w:rPr>
        <w:t>内完成供货、线路、设备安施和调试，交付采购方使用</w:t>
      </w:r>
      <w:r>
        <w:rPr>
          <w:rFonts w:hint="eastAsia" w:cs="宋体"/>
          <w:color w:val="0000FF"/>
        </w:rPr>
        <w:t>，</w:t>
      </w:r>
      <w:r>
        <w:rPr>
          <w:rFonts w:hint="eastAsia" w:cs="宋体"/>
          <w:color w:val="000000"/>
        </w:rPr>
        <w:t>货物交付地点为甲方所在地。</w:t>
      </w:r>
    </w:p>
    <w:p>
      <w:pPr>
        <w:pStyle w:val="12"/>
        <w:snapToGrid w:val="0"/>
        <w:spacing w:before="0" w:beforeAutospacing="0" w:after="0" w:afterAutospacing="0" w:line="360" w:lineRule="auto"/>
        <w:ind w:firstLine="480"/>
        <w:rPr>
          <w:rFonts w:cs="宋体"/>
        </w:rPr>
      </w:pPr>
      <w:r>
        <w:rPr>
          <w:rFonts w:hint="eastAsia" w:cs="宋体"/>
          <w:color w:val="000000"/>
        </w:rPr>
        <w:t>2.乙方交付时向甲方提供上述产品的质量保证书、合格证、说明书。</w:t>
      </w:r>
    </w:p>
    <w:p>
      <w:pPr>
        <w:pStyle w:val="12"/>
        <w:snapToGrid w:val="0"/>
        <w:spacing w:before="0" w:beforeAutospacing="0" w:after="0" w:afterAutospacing="0" w:line="360" w:lineRule="auto"/>
        <w:ind w:firstLine="482"/>
        <w:rPr>
          <w:rFonts w:cs="宋体"/>
        </w:rPr>
      </w:pPr>
      <w:r>
        <w:rPr>
          <w:rFonts w:hint="eastAsia" w:cs="宋体"/>
          <w:b/>
          <w:bCs/>
          <w:color w:val="000000"/>
        </w:rPr>
        <w:t>七、付款方式</w:t>
      </w:r>
    </w:p>
    <w:p>
      <w:pPr>
        <w:spacing w:line="360" w:lineRule="auto"/>
        <w:ind w:firstLine="480" w:firstLineChars="200"/>
        <w:rPr>
          <w:color w:val="000000"/>
          <w:sz w:val="24"/>
        </w:rPr>
      </w:pPr>
      <w:r>
        <w:rPr>
          <w:rFonts w:hint="eastAsia" w:ascii="宋体" w:hAnsi="宋体" w:cs="宋体"/>
          <w:color w:val="000000" w:themeColor="text1"/>
          <w:sz w:val="24"/>
          <w14:textFill>
            <w14:solidFill>
              <w14:schemeClr w14:val="tx1"/>
            </w14:solidFill>
          </w14:textFill>
        </w:rPr>
        <w:t>1.乙方缴纳履约保证金后，甲方分两次付款。在合同签订一个月内支付合同总金额的</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%；在项目全部到货并验收合格后10个工作日内支付合同余款。自验收合格之日起计壹年后履约保证金全额无息退还。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snapToGrid w:val="0"/>
        <w:spacing w:before="0" w:beforeAutospacing="0" w:after="0" w:afterAutospacing="0" w:line="360" w:lineRule="auto"/>
        <w:ind w:firstLine="482"/>
        <w:rPr>
          <w:rFonts w:cs="宋体"/>
        </w:rPr>
      </w:pPr>
      <w:r>
        <w:rPr>
          <w:rFonts w:hint="eastAsia" w:cs="宋体"/>
          <w:b/>
          <w:bCs/>
          <w:color w:val="000000"/>
        </w:rPr>
        <w:t>八、违约责任</w:t>
      </w:r>
      <w:r>
        <w:rPr>
          <w:rFonts w:hint="eastAsia" w:cs="宋体"/>
        </w:rPr>
        <w:t>    </w:t>
      </w:r>
    </w:p>
    <w:p>
      <w:pPr>
        <w:pStyle w:val="12"/>
        <w:snapToGrid w:val="0"/>
        <w:spacing w:before="0" w:beforeAutospacing="0" w:after="0" w:afterAutospacing="0" w:line="360" w:lineRule="auto"/>
        <w:ind w:firstLine="480"/>
        <w:rPr>
          <w:rFonts w:cs="宋体"/>
        </w:rPr>
      </w:pPr>
      <w:r>
        <w:rPr>
          <w:rFonts w:hint="eastAsia" w:cs="宋体"/>
          <w:color w:val="000000"/>
        </w:rPr>
        <w:t>1.乙方逾期履行合同包括逾期交货，逾期安装验收，逾期提供售后服务的，自逾期之日起，向甲方每日偿付合同总价千分之二的违约金；乙方逾期30日不能交货的，甲方没收履约保证金，同时有权解除合同。</w:t>
      </w:r>
    </w:p>
    <w:p>
      <w:pPr>
        <w:pStyle w:val="12"/>
        <w:snapToGrid w:val="0"/>
        <w:spacing w:before="0" w:beforeAutospacing="0" w:after="0" w:afterAutospacing="0" w:line="360" w:lineRule="auto"/>
        <w:ind w:firstLine="480"/>
        <w:rPr>
          <w:rFonts w:cs="宋体"/>
        </w:rPr>
      </w:pPr>
      <w:r>
        <w:rPr>
          <w:rFonts w:hint="eastAsia" w:cs="宋体"/>
          <w:color w:val="000000"/>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12"/>
        <w:snapToGrid w:val="0"/>
        <w:spacing w:before="0" w:beforeAutospacing="0" w:after="0" w:afterAutospacing="0" w:line="360" w:lineRule="auto"/>
        <w:ind w:firstLine="480"/>
        <w:rPr>
          <w:rFonts w:cs="宋体"/>
        </w:rPr>
      </w:pPr>
      <w:r>
        <w:rPr>
          <w:rFonts w:hint="eastAsia" w:cs="宋体"/>
          <w:color w:val="000000"/>
        </w:rPr>
        <w:t>3.乙方在货物交付验收合格之日起三个月内违反本合同有关质量保证及售后服务承诺的，甲方有权没收履约保证金；在货物交付验收合格之日起三个月后发生质量问题的，按售后服务承诺处理。</w:t>
      </w:r>
    </w:p>
    <w:p>
      <w:pPr>
        <w:pStyle w:val="12"/>
        <w:snapToGrid w:val="0"/>
        <w:spacing w:before="0" w:beforeAutospacing="0" w:after="0" w:afterAutospacing="0" w:line="360" w:lineRule="auto"/>
        <w:ind w:firstLine="482"/>
        <w:rPr>
          <w:rFonts w:cs="宋体"/>
        </w:rPr>
      </w:pPr>
      <w:r>
        <w:rPr>
          <w:rFonts w:hint="eastAsia" w:cs="宋体"/>
          <w:b/>
          <w:bCs/>
          <w:color w:val="000000"/>
        </w:rPr>
        <w:t>九、不可抗力事件处理</w:t>
      </w:r>
    </w:p>
    <w:p>
      <w:pPr>
        <w:pStyle w:val="12"/>
        <w:snapToGrid w:val="0"/>
        <w:spacing w:before="0" w:beforeAutospacing="0" w:after="0" w:afterAutospacing="0" w:line="360" w:lineRule="auto"/>
        <w:ind w:firstLine="480"/>
        <w:rPr>
          <w:rFonts w:cs="宋体"/>
        </w:rPr>
      </w:pPr>
      <w:r>
        <w:rPr>
          <w:rFonts w:hint="eastAsia" w:cs="宋体"/>
          <w:color w:val="000000"/>
        </w:rPr>
        <w:t>1.在履行合同期限内，任何一方因不可抗力事件所至不能履行合同，则合同履行期可延长，延长期与不可抗力影响期相同。</w:t>
      </w:r>
    </w:p>
    <w:p>
      <w:pPr>
        <w:pStyle w:val="12"/>
        <w:snapToGrid w:val="0"/>
        <w:spacing w:before="0" w:beforeAutospacing="0" w:after="0" w:afterAutospacing="0" w:line="360" w:lineRule="auto"/>
        <w:ind w:firstLine="480"/>
        <w:rPr>
          <w:rFonts w:cs="宋体"/>
        </w:rPr>
      </w:pPr>
      <w:r>
        <w:rPr>
          <w:rFonts w:hint="eastAsia" w:cs="宋体"/>
          <w:color w:val="000000"/>
        </w:rPr>
        <w:t>2.不可抗力事件发生后，应立即通知对方，并寄送有关权威机构出具的证明。 </w:t>
      </w:r>
    </w:p>
    <w:p>
      <w:pPr>
        <w:pStyle w:val="12"/>
        <w:snapToGrid w:val="0"/>
        <w:spacing w:before="0" w:beforeAutospacing="0" w:after="0" w:afterAutospacing="0" w:line="360" w:lineRule="auto"/>
        <w:ind w:firstLine="480"/>
        <w:rPr>
          <w:rFonts w:cs="宋体"/>
        </w:rPr>
      </w:pPr>
      <w:r>
        <w:rPr>
          <w:rFonts w:hint="eastAsia" w:cs="宋体"/>
          <w:color w:val="000000"/>
        </w:rPr>
        <w:t>3.不可抗力事件延续60天以上，双方应通过友好协商，确定是否继续履行合同，协商不成的，任何一方均有权解除合同。</w:t>
      </w:r>
    </w:p>
    <w:p>
      <w:pPr>
        <w:pStyle w:val="12"/>
        <w:snapToGrid w:val="0"/>
        <w:spacing w:before="0" w:beforeAutospacing="0" w:after="0" w:afterAutospacing="0" w:line="360" w:lineRule="auto"/>
        <w:ind w:firstLine="482"/>
        <w:rPr>
          <w:rFonts w:cs="宋体"/>
        </w:rPr>
      </w:pPr>
      <w:r>
        <w:rPr>
          <w:rFonts w:hint="eastAsia" w:cs="宋体"/>
          <w:b/>
          <w:bCs/>
          <w:color w:val="000000"/>
        </w:rPr>
        <w:t>十、争议的解决</w:t>
      </w:r>
    </w:p>
    <w:p>
      <w:pPr>
        <w:pStyle w:val="12"/>
        <w:snapToGrid w:val="0"/>
        <w:spacing w:before="0" w:beforeAutospacing="0" w:after="0" w:afterAutospacing="0" w:line="360" w:lineRule="auto"/>
        <w:ind w:firstLine="480"/>
        <w:rPr>
          <w:rFonts w:cs="宋体"/>
        </w:rPr>
      </w:pPr>
      <w:r>
        <w:rPr>
          <w:rFonts w:hint="eastAsia" w:cs="宋体"/>
          <w:color w:val="000000"/>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before="0" w:beforeAutospacing="0" w:after="0" w:afterAutospacing="0" w:line="360" w:lineRule="auto"/>
        <w:ind w:firstLine="482"/>
        <w:rPr>
          <w:rFonts w:cs="宋体"/>
        </w:rPr>
      </w:pPr>
      <w:r>
        <w:rPr>
          <w:rFonts w:hint="eastAsia" w:cs="宋体"/>
          <w:b/>
          <w:bCs/>
          <w:color w:val="000000"/>
        </w:rPr>
        <w:t>十一、合同的生效</w:t>
      </w:r>
    </w:p>
    <w:p>
      <w:pPr>
        <w:pStyle w:val="12"/>
        <w:snapToGrid w:val="0"/>
        <w:spacing w:before="0" w:beforeAutospacing="0" w:after="0" w:afterAutospacing="0" w:line="360" w:lineRule="auto"/>
        <w:ind w:firstLine="480"/>
        <w:rPr>
          <w:rFonts w:cs="宋体"/>
        </w:rPr>
      </w:pPr>
      <w:r>
        <w:rPr>
          <w:rFonts w:hint="eastAsia" w:cs="宋体"/>
          <w:color w:val="000000"/>
        </w:rPr>
        <w:t>1.本合同经甲方、乙方法定代表人或其委托人（委托书）签字并加盖双方公章后生效。</w:t>
      </w:r>
    </w:p>
    <w:p>
      <w:pPr>
        <w:pStyle w:val="12"/>
        <w:snapToGrid w:val="0"/>
        <w:spacing w:before="0" w:beforeAutospacing="0" w:after="0" w:afterAutospacing="0" w:line="360" w:lineRule="auto"/>
        <w:ind w:firstLine="480"/>
        <w:rPr>
          <w:rFonts w:cs="宋体"/>
        </w:rPr>
      </w:pPr>
      <w:r>
        <w:rPr>
          <w:rFonts w:hint="eastAsia" w:cs="宋体"/>
          <w:color w:val="000000"/>
        </w:rPr>
        <w:t>2.本合同一式伍份，甲、乙双方各执贰份，衢州市政府财政局采监处执壹份。</w:t>
      </w:r>
    </w:p>
    <w:p>
      <w:pPr>
        <w:pStyle w:val="12"/>
        <w:snapToGrid w:val="0"/>
        <w:spacing w:before="0" w:beforeAutospacing="0" w:after="0" w:afterAutospacing="0" w:line="360" w:lineRule="auto"/>
        <w:rPr>
          <w:rFonts w:cs="宋体"/>
        </w:rPr>
      </w:pPr>
      <w:r>
        <w:rPr>
          <w:rFonts w:hint="eastAsia" w:cs="宋体"/>
          <w:color w:val="000000"/>
        </w:rPr>
        <w:t>　　甲方单位名称（公章）：　　           乙方单位名称（公章）：</w:t>
      </w:r>
    </w:p>
    <w:p>
      <w:pPr>
        <w:pStyle w:val="12"/>
        <w:snapToGrid w:val="0"/>
        <w:spacing w:before="0" w:beforeAutospacing="0" w:after="0" w:afterAutospacing="0" w:line="360" w:lineRule="auto"/>
        <w:ind w:firstLine="480"/>
        <w:rPr>
          <w:rFonts w:cs="宋体"/>
        </w:rPr>
      </w:pPr>
      <w:r>
        <w:rPr>
          <w:rFonts w:hint="eastAsia" w:cs="宋体"/>
          <w:color w:val="000000"/>
        </w:rPr>
        <w:t>法定代表人或授权代表(签字)：　　　　法定代表人或授权代表(签字)：</w:t>
      </w:r>
    </w:p>
    <w:p>
      <w:pPr>
        <w:pStyle w:val="12"/>
        <w:snapToGrid w:val="0"/>
        <w:spacing w:before="0" w:beforeAutospacing="0" w:after="0" w:afterAutospacing="0" w:line="360" w:lineRule="auto"/>
        <w:ind w:firstLine="480"/>
        <w:jc w:val="right"/>
        <w:rPr>
          <w:rFonts w:cs="宋体"/>
        </w:rPr>
      </w:pPr>
      <w:r>
        <w:rPr>
          <w:rFonts w:hint="eastAsia" w:cs="宋体"/>
          <w:color w:val="000000"/>
        </w:rPr>
        <w:t>合同签订日期：　 年　月　日</w:t>
      </w:r>
    </w:p>
    <w:p>
      <w:pPr>
        <w:pStyle w:val="12"/>
        <w:snapToGrid w:val="0"/>
        <w:spacing w:before="0" w:beforeAutospacing="0" w:after="0" w:afterAutospacing="0" w:line="360" w:lineRule="auto"/>
        <w:ind w:firstLine="480"/>
        <w:rPr>
          <w:color w:val="000000"/>
          <w:sz w:val="32"/>
        </w:rPr>
      </w:pPr>
      <w:r>
        <w:rPr>
          <w:rFonts w:hint="eastAsia" w:cs="宋体"/>
          <w:color w:val="000000"/>
        </w:rPr>
        <w:t>本合同均为打印版本，未加盖甲方公章的手写部分无效。</w:t>
      </w: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9"/>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firstLineChars="200"/>
        <w:rPr>
          <w:rFonts w:hAnsi="宋体"/>
          <w:color w:val="000000"/>
          <w:sz w:val="24"/>
        </w:rPr>
      </w:pPr>
      <w:r>
        <w:rPr>
          <w:rFonts w:hint="eastAsia" w:hAnsi="宋体"/>
          <w:color w:val="000000"/>
          <w:sz w:val="24"/>
        </w:rPr>
        <w:t>2.客观公正的对待所有投标人，对所有投标评价，均采用相同的程序和标准。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4"/>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00"/>
        <w:gridCol w:w="623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237"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50"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237"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b/>
                <w:bCs/>
                <w:color w:val="000000"/>
                <w:szCs w:val="21"/>
              </w:rPr>
              <w:t>40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10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237"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5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100"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237"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100" w:type="dxa"/>
            <w:vMerge w:val="continue"/>
            <w:vAlign w:val="center"/>
          </w:tcPr>
          <w:p>
            <w:pPr>
              <w:widowControl/>
              <w:spacing w:line="360" w:lineRule="auto"/>
              <w:jc w:val="left"/>
              <w:rPr>
                <w:rFonts w:ascii="宋体" w:hAnsi="宋体" w:cs="仿宋_GB2312"/>
                <w:color w:val="000000"/>
                <w:szCs w:val="21"/>
              </w:rPr>
            </w:pPr>
          </w:p>
        </w:tc>
        <w:tc>
          <w:tcPr>
            <w:tcW w:w="6237"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5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100" w:type="dxa"/>
            <w:vMerge w:val="continue"/>
            <w:vAlign w:val="center"/>
          </w:tcPr>
          <w:p>
            <w:pPr>
              <w:widowControl/>
              <w:spacing w:line="360" w:lineRule="auto"/>
              <w:jc w:val="left"/>
              <w:rPr>
                <w:rFonts w:ascii="宋体" w:hAnsi="宋体" w:cs="仿宋_GB2312"/>
                <w:color w:val="000000"/>
                <w:szCs w:val="21"/>
              </w:rPr>
            </w:pPr>
          </w:p>
        </w:tc>
        <w:tc>
          <w:tcPr>
            <w:tcW w:w="6237"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根据拟投入本项目人员情况（技术力量）进行综合评分。（0-4分）</w:t>
            </w:r>
          </w:p>
        </w:tc>
        <w:tc>
          <w:tcPr>
            <w:tcW w:w="85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237"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年1月1日以来至今（以合同签订时间为准）同类项目成功实施案例：每提供一个有效合同原件的扫描件得2分，最高得10分。（0-10分）</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237"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237"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投标人培训方案、地点、组织、人员配备、软硬件资料等内容是否完整、科学合理。（0-3分）</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10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237"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质保期超过招标文件要求的，每增加半年得1分，最多2分。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（0-2分）</w:t>
            </w:r>
          </w:p>
        </w:tc>
        <w:tc>
          <w:tcPr>
            <w:tcW w:w="850"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10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237" w:type="dxa"/>
            <w:vAlign w:val="center"/>
          </w:tcPr>
          <w:p>
            <w:pPr>
              <w:pStyle w:val="20"/>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售后服务方案、维护人员和服务机构等情况，以及服务承诺的可行性、完整性以及服务承诺落实的保障措施，能及时提供备品备件及备品备件数量，定期巡检服务承诺，对用户服务响应措施情况等。（0-4分）</w:t>
            </w:r>
          </w:p>
        </w:tc>
        <w:tc>
          <w:tcPr>
            <w:tcW w:w="85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10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237" w:type="dxa"/>
            <w:vAlign w:val="center"/>
          </w:tcPr>
          <w:p>
            <w:pPr>
              <w:pStyle w:val="21"/>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50"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eastAsia" w:ascii="宋体" w:hAnsi="宋体" w:eastAsia="宋体"/>
          <w:b/>
          <w:color w:val="000000" w:themeColor="text1"/>
          <w:spacing w:val="20"/>
          <w:sz w:val="32"/>
          <w:szCs w:val="32"/>
          <w:lang w:eastAsia="zh-CN"/>
          <w14:textFill>
            <w14:solidFill>
              <w14:schemeClr w14:val="tx1"/>
            </w14:solidFill>
          </w14:textFill>
        </w:rPr>
      </w:pPr>
      <w:r>
        <w:rPr>
          <w:rFonts w:hint="eastAsia" w:ascii="宋体" w:hAnsi="宋体"/>
          <w:color w:val="000000"/>
          <w:spacing w:val="20"/>
          <w:sz w:val="32"/>
          <w:szCs w:val="32"/>
        </w:rPr>
        <w:t>项目编号：</w:t>
      </w:r>
      <w:r>
        <w:rPr>
          <w:rFonts w:hint="eastAsia" w:ascii="宋体" w:hAnsi="宋体"/>
          <w:b/>
          <w:color w:val="000000" w:themeColor="text1"/>
          <w:sz w:val="32"/>
          <w:szCs w:val="32"/>
          <w14:textFill>
            <w14:solidFill>
              <w14:schemeClr w14:val="tx1"/>
            </w14:solidFill>
          </w14:textFill>
        </w:rPr>
        <w:t>衢院招2021-44</w:t>
      </w:r>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lang w:val="en-US" w:eastAsia="zh-CN"/>
          <w14:textFill>
            <w14:solidFill>
              <w14:schemeClr w14:val="tx1"/>
            </w14:solidFill>
          </w14:textFill>
        </w:rPr>
        <w:t>1</w:t>
      </w:r>
      <w:r>
        <w:rPr>
          <w:rFonts w:hint="eastAsia" w:ascii="宋体" w:hAnsi="宋体"/>
          <w:b/>
          <w:color w:val="000000" w:themeColor="text1"/>
          <w:sz w:val="32"/>
          <w:szCs w:val="32"/>
          <w:lang w:eastAsia="zh-CN"/>
          <w14:textFill>
            <w14:solidFill>
              <w14:schemeClr w14:val="tx1"/>
            </w14:solidFill>
          </w14:textFill>
        </w:rPr>
        <w:t>）</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实验室化学品盘点及管理系统</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lang w:val="zh-CN"/>
        </w:rPr>
      </w:pP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实验室化学品</w:t>
      </w:r>
    </w:p>
    <w:p>
      <w:pPr>
        <w:autoSpaceDE w:val="0"/>
        <w:autoSpaceDN w:val="0"/>
        <w:adjustRightInd w:val="0"/>
        <w:spacing w:line="360" w:lineRule="auto"/>
        <w:rPr>
          <w:rFonts w:ascii="宋体" w:hAnsi="宋体"/>
          <w:b/>
          <w:color w:val="000000"/>
          <w:sz w:val="24"/>
        </w:rPr>
      </w:pPr>
      <w:r>
        <w:rPr>
          <w:rFonts w:hint="eastAsia" w:ascii="宋体" w:hAnsi="宋体"/>
          <w:b/>
          <w:bCs/>
          <w:color w:val="000000"/>
          <w:sz w:val="28"/>
          <w:szCs w:val="28"/>
          <w:u w:val="single"/>
          <w:lang w:val="zh-CN"/>
        </w:rPr>
        <w:t>盘点及管理系统采购</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themeColor="text1"/>
          <w:sz w:val="28"/>
          <w:szCs w:val="28"/>
          <w:u w:val="single"/>
          <w14:textFill>
            <w14:solidFill>
              <w14:schemeClr w14:val="tx1"/>
            </w14:solidFill>
          </w14:textFill>
        </w:rPr>
        <w:t>2021-44</w:t>
      </w:r>
      <w:r>
        <w:rPr>
          <w:rFonts w:hint="eastAsia" w:ascii="宋体" w:hAnsi="宋体"/>
          <w:b/>
          <w:color w:val="000000" w:themeColor="text1"/>
          <w:sz w:val="28"/>
          <w:szCs w:val="28"/>
          <w:u w:val="single"/>
          <w:lang w:eastAsia="zh-CN"/>
          <w14:textFill>
            <w14:solidFill>
              <w14:schemeClr w14:val="tx1"/>
            </w14:solidFill>
          </w14:textFill>
        </w:rPr>
        <w:t>（</w:t>
      </w:r>
      <w:r>
        <w:rPr>
          <w:rFonts w:hint="eastAsia" w:ascii="宋体" w:hAnsi="宋体"/>
          <w:b/>
          <w:color w:val="000000" w:themeColor="text1"/>
          <w:sz w:val="28"/>
          <w:szCs w:val="28"/>
          <w:u w:val="single"/>
          <w:lang w:val="en-US" w:eastAsia="zh-CN"/>
          <w14:textFill>
            <w14:solidFill>
              <w14:schemeClr w14:val="tx1"/>
            </w14:solidFill>
          </w14:textFill>
        </w:rPr>
        <w:t>1</w:t>
      </w:r>
      <w:r>
        <w:rPr>
          <w:rFonts w:hint="eastAsia" w:ascii="宋体" w:hAnsi="宋体"/>
          <w:b/>
          <w:color w:val="000000" w:themeColor="text1"/>
          <w:sz w:val="28"/>
          <w:szCs w:val="28"/>
          <w:u w:val="single"/>
          <w:lang w:eastAsia="zh-CN"/>
          <w14:textFill>
            <w14:solidFill>
              <w14:schemeClr w14:val="tx1"/>
            </w14:solidFill>
          </w14:textFill>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 邮编：</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电话：传真：</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投标人名称：（公章）</w:t>
      </w:r>
    </w:p>
    <w:p>
      <w:pPr>
        <w:autoSpaceDE w:val="0"/>
        <w:autoSpaceDN w:val="0"/>
        <w:adjustRightInd w:val="0"/>
        <w:spacing w:line="360" w:lineRule="auto"/>
        <w:ind w:left="1"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全权代表签字：投标日期：年月日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spacing w:line="360" w:lineRule="auto"/>
        <w:ind w:left="279" w:leftChars="133" w:firstLine="378" w:firstLineChars="135"/>
        <w:rPr>
          <w:rFonts w:ascii="宋体" w:hAnsi="宋体"/>
          <w:color w:val="000000"/>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rPr>
        <w:t xml:space="preserve">                                </w:t>
      </w:r>
      <w:r>
        <w:rPr>
          <w:rFonts w:hint="eastAsia" w:ascii="宋体" w:hAnsi="宋体"/>
          <w:color w:val="000000"/>
          <w:sz w:val="28"/>
          <w:szCs w:val="28"/>
          <w:lang w:val="zh-CN"/>
        </w:rPr>
        <w:t>法定代</w:t>
      </w:r>
    </w:p>
    <w:p>
      <w:pPr>
        <w:spacing w:line="360" w:lineRule="auto"/>
        <w:rPr>
          <w:rFonts w:ascii="宋体" w:hAnsi="宋体"/>
          <w:b/>
          <w:color w:val="000000"/>
          <w:sz w:val="24"/>
        </w:rPr>
      </w:pPr>
      <w:r>
        <w:rPr>
          <w:rFonts w:hint="eastAsia" w:ascii="宋体" w:hAnsi="宋体"/>
          <w:color w:val="000000"/>
          <w:sz w:val="28"/>
          <w:szCs w:val="28"/>
          <w:lang w:val="zh-CN"/>
        </w:rPr>
        <w:t>表人</w:t>
      </w:r>
      <w:r>
        <w:rPr>
          <w:rFonts w:hint="eastAsia" w:ascii="宋体" w:hAnsi="宋体"/>
          <w:color w:val="000000"/>
          <w:sz w:val="28"/>
          <w:szCs w:val="28"/>
          <w:u w:val="single"/>
        </w:rPr>
        <w:t xml:space="preserve">                 </w:t>
      </w: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实验室化学品盘点及管理系统</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themeColor="text1"/>
          <w:sz w:val="28"/>
          <w:szCs w:val="28"/>
          <w:u w:val="single"/>
          <w14:textFill>
            <w14:solidFill>
              <w14:schemeClr w14:val="tx1"/>
            </w14:solidFill>
          </w14:textFill>
        </w:rPr>
        <w:t>2021-44</w:t>
      </w:r>
      <w:r>
        <w:rPr>
          <w:rFonts w:hint="eastAsia" w:ascii="宋体" w:hAnsi="宋体"/>
          <w:b/>
          <w:color w:val="000000" w:themeColor="text1"/>
          <w:sz w:val="28"/>
          <w:szCs w:val="28"/>
          <w:u w:val="single"/>
          <w:lang w:eastAsia="zh-CN"/>
          <w14:textFill>
            <w14:solidFill>
              <w14:schemeClr w14:val="tx1"/>
            </w14:solidFill>
          </w14:textFill>
        </w:rPr>
        <w:t>（</w:t>
      </w:r>
      <w:r>
        <w:rPr>
          <w:rFonts w:hint="eastAsia" w:ascii="宋体" w:hAnsi="宋体"/>
          <w:b/>
          <w:color w:val="000000" w:themeColor="text1"/>
          <w:sz w:val="28"/>
          <w:szCs w:val="28"/>
          <w:u w:val="single"/>
          <w:lang w:val="en-US" w:eastAsia="zh-CN"/>
          <w14:textFill>
            <w14:solidFill>
              <w14:schemeClr w14:val="tx1"/>
            </w14:solidFill>
          </w14:textFill>
        </w:rPr>
        <w:t>1</w:t>
      </w:r>
      <w:r>
        <w:rPr>
          <w:rFonts w:hint="eastAsia" w:ascii="宋体" w:hAnsi="宋体"/>
          <w:b/>
          <w:color w:val="000000" w:themeColor="text1"/>
          <w:sz w:val="28"/>
          <w:szCs w:val="28"/>
          <w:u w:val="single"/>
          <w:lang w:eastAsia="zh-CN"/>
          <w14:textFill>
            <w14:solidFill>
              <w14:schemeClr w14:val="tx1"/>
            </w14:solidFill>
          </w14:textFill>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spacing w:line="360" w:lineRule="auto"/>
        <w:rPr>
          <w:rFonts w:hint="eastAsia" w:ascii="宋体" w:hAnsi="宋体" w:eastAsia="宋体"/>
          <w:b/>
          <w:color w:val="000000"/>
          <w:sz w:val="24"/>
          <w:lang w:eastAsia="zh-CN"/>
        </w:rPr>
      </w:pPr>
      <w:r>
        <w:rPr>
          <w:rFonts w:hint="eastAsia" w:ascii="宋体" w:hAnsi="宋体"/>
          <w:b/>
          <w:bCs/>
          <w:color w:val="000000"/>
          <w:sz w:val="32"/>
          <w:szCs w:val="32"/>
          <w:lang w:val="zh-CN"/>
        </w:rPr>
        <w:t>项目编号：</w:t>
      </w:r>
      <w:r>
        <w:rPr>
          <w:rFonts w:hint="eastAsia" w:ascii="宋体" w:hAnsi="宋体"/>
          <w:b/>
          <w:color w:val="000000"/>
          <w:sz w:val="32"/>
          <w:szCs w:val="32"/>
          <w:lang w:val="zh-CN"/>
        </w:rPr>
        <w:t>衢院招</w:t>
      </w:r>
      <w:r>
        <w:rPr>
          <w:rFonts w:hint="eastAsia" w:ascii="宋体" w:hAnsi="宋体"/>
          <w:b/>
          <w:sz w:val="32"/>
          <w:szCs w:val="32"/>
        </w:rPr>
        <w:t>2021-44</w:t>
      </w:r>
      <w:r>
        <w:rPr>
          <w:rFonts w:hint="eastAsia" w:ascii="宋体" w:hAnsi="宋体"/>
          <w:b/>
          <w:sz w:val="32"/>
          <w:szCs w:val="32"/>
          <w:lang w:eastAsia="zh-CN"/>
        </w:rPr>
        <w:t>（</w:t>
      </w:r>
      <w:r>
        <w:rPr>
          <w:rFonts w:hint="eastAsia" w:ascii="宋体" w:hAnsi="宋体"/>
          <w:b/>
          <w:sz w:val="32"/>
          <w:szCs w:val="32"/>
          <w:lang w:val="en-US" w:eastAsia="zh-CN"/>
        </w:rPr>
        <w:t>1</w:t>
      </w:r>
      <w:r>
        <w:rPr>
          <w:rFonts w:hint="eastAsia" w:ascii="宋体" w:hAnsi="宋体"/>
          <w:b/>
          <w:sz w:val="32"/>
          <w:szCs w:val="32"/>
          <w:lang w:eastAsia="zh-CN"/>
        </w:rPr>
        <w:t>）</w:t>
      </w:r>
    </w:p>
    <w:p>
      <w:pPr>
        <w:snapToGrid w:val="0"/>
        <w:spacing w:line="360" w:lineRule="auto"/>
        <w:rPr>
          <w:rFonts w:ascii="宋体" w:hAnsi="宋体"/>
          <w:b/>
          <w:color w:val="000000"/>
          <w:spacing w:val="20"/>
          <w:sz w:val="32"/>
          <w:szCs w:val="32"/>
          <w:u w:val="single"/>
          <w:lang w:val="zh-CN"/>
        </w:rPr>
      </w:pPr>
      <w:r>
        <w:rPr>
          <w:rFonts w:hint="eastAsia" w:ascii="宋体" w:hAnsi="宋体"/>
          <w:b/>
          <w:bCs/>
          <w:color w:val="000000"/>
          <w:sz w:val="32"/>
          <w:szCs w:val="32"/>
          <w:lang w:val="zh-CN"/>
        </w:rPr>
        <w:t>项目名称：实验室化学品盘点及管理系统</w:t>
      </w:r>
    </w:p>
    <w:p>
      <w:pPr>
        <w:autoSpaceDE w:val="0"/>
        <w:autoSpaceDN w:val="0"/>
        <w:adjustRightInd w:val="0"/>
        <w:ind w:left="1383" w:hanging="1383" w:hangingChars="492"/>
        <w:rPr>
          <w:rFonts w:ascii="宋体" w:hAnsi="宋体"/>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pacing w:line="360" w:lineRule="auto"/>
        <w:rPr>
          <w:rFonts w:hint="eastAsia" w:ascii="宋体" w:hAnsi="宋体" w:eastAsia="宋体"/>
          <w:b/>
          <w:color w:val="000000"/>
          <w:sz w:val="24"/>
          <w:lang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w:t>
      </w:r>
      <w:r>
        <w:rPr>
          <w:rFonts w:hint="eastAsia" w:ascii="宋体" w:hAnsi="宋体"/>
          <w:b/>
          <w:sz w:val="32"/>
          <w:szCs w:val="32"/>
        </w:rPr>
        <w:t>2021-44</w:t>
      </w:r>
      <w:r>
        <w:rPr>
          <w:rFonts w:hint="eastAsia" w:ascii="宋体" w:hAnsi="宋体"/>
          <w:b/>
          <w:sz w:val="32"/>
          <w:szCs w:val="32"/>
          <w:lang w:eastAsia="zh-CN"/>
        </w:rPr>
        <w:t>（</w:t>
      </w:r>
      <w:r>
        <w:rPr>
          <w:rFonts w:hint="eastAsia" w:ascii="宋体" w:hAnsi="宋体"/>
          <w:b/>
          <w:sz w:val="32"/>
          <w:szCs w:val="32"/>
          <w:lang w:val="en-US" w:eastAsia="zh-CN"/>
        </w:rPr>
        <w:t>1</w:t>
      </w:r>
      <w:r>
        <w:rPr>
          <w:rFonts w:hint="eastAsia" w:ascii="宋体" w:hAnsi="宋体"/>
          <w:b/>
          <w:sz w:val="32"/>
          <w:szCs w:val="32"/>
          <w:lang w:eastAsia="zh-CN"/>
        </w:rPr>
        <w:t>）</w:t>
      </w:r>
    </w:p>
    <w:p>
      <w:pPr>
        <w:snapToGrid w:val="0"/>
        <w:spacing w:line="360" w:lineRule="auto"/>
        <w:rPr>
          <w:rFonts w:ascii="宋体" w:hAnsi="宋体"/>
          <w:bCs/>
          <w:color w:val="000000"/>
          <w:sz w:val="28"/>
          <w:szCs w:val="28"/>
        </w:rPr>
      </w:pPr>
      <w:r>
        <w:rPr>
          <w:rFonts w:hint="eastAsia" w:ascii="宋体" w:hAnsi="宋体"/>
          <w:color w:val="000000"/>
          <w:spacing w:val="20"/>
          <w:sz w:val="32"/>
          <w:szCs w:val="32"/>
        </w:rPr>
        <w:t>项目名称：</w:t>
      </w:r>
      <w:r>
        <w:rPr>
          <w:rFonts w:hint="eastAsia" w:ascii="宋体" w:hAnsi="宋体"/>
          <w:b/>
          <w:bCs/>
          <w:color w:val="000000"/>
          <w:sz w:val="32"/>
          <w:szCs w:val="32"/>
        </w:rPr>
        <w:t>实验室化学品盘点及管理系统</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hint="eastAsia" w:ascii="宋体" w:hAnsi="宋体" w:eastAsia="宋体"/>
          <w:color w:val="000000"/>
          <w:spacing w:val="20"/>
          <w:sz w:val="32"/>
          <w:szCs w:val="32"/>
          <w:lang w:eastAsia="zh-CN"/>
        </w:rPr>
      </w:pPr>
      <w:r>
        <w:rPr>
          <w:rFonts w:hint="eastAsia" w:ascii="宋体" w:hAnsi="宋体"/>
          <w:color w:val="000000"/>
          <w:spacing w:val="20"/>
          <w:sz w:val="32"/>
          <w:szCs w:val="32"/>
        </w:rPr>
        <w:t>项目编号：</w:t>
      </w:r>
      <w:r>
        <w:rPr>
          <w:rFonts w:hint="eastAsia" w:ascii="宋体" w:hAnsi="宋体"/>
          <w:b/>
          <w:color w:val="000000"/>
          <w:sz w:val="32"/>
          <w:szCs w:val="32"/>
        </w:rPr>
        <w:t>衢院</w:t>
      </w:r>
      <w:r>
        <w:rPr>
          <w:rFonts w:hint="eastAsia" w:ascii="宋体" w:hAnsi="宋体"/>
          <w:b/>
          <w:sz w:val="32"/>
          <w:szCs w:val="32"/>
        </w:rPr>
        <w:t>招2021-44</w:t>
      </w:r>
      <w:r>
        <w:rPr>
          <w:rFonts w:hint="eastAsia" w:ascii="宋体" w:hAnsi="宋体"/>
          <w:b/>
          <w:sz w:val="32"/>
          <w:szCs w:val="32"/>
          <w:lang w:eastAsia="zh-CN"/>
        </w:rPr>
        <w:t>（</w:t>
      </w:r>
      <w:r>
        <w:rPr>
          <w:rFonts w:hint="eastAsia" w:ascii="宋体" w:hAnsi="宋体"/>
          <w:b/>
          <w:sz w:val="32"/>
          <w:szCs w:val="32"/>
          <w:lang w:val="en-US" w:eastAsia="zh-CN"/>
        </w:rPr>
        <w:t>1</w:t>
      </w:r>
      <w:r>
        <w:rPr>
          <w:rFonts w:hint="eastAsia" w:ascii="宋体" w:hAnsi="宋体"/>
          <w:b/>
          <w:sz w:val="32"/>
          <w:szCs w:val="32"/>
          <w:lang w:eastAsia="zh-CN"/>
        </w:rPr>
        <w:t>）</w:t>
      </w:r>
    </w:p>
    <w:p>
      <w:pPr>
        <w:snapToGrid w:val="0"/>
        <w:spacing w:line="360" w:lineRule="auto"/>
        <w:rPr>
          <w:rFonts w:ascii="宋体" w:hAnsi="宋体"/>
          <w:bCs/>
          <w:color w:val="000000"/>
          <w:sz w:val="28"/>
          <w:szCs w:val="28"/>
        </w:rPr>
      </w:pPr>
      <w:r>
        <w:rPr>
          <w:rFonts w:hint="eastAsia" w:ascii="宋体" w:hAnsi="宋体"/>
          <w:color w:val="000000"/>
          <w:spacing w:val="20"/>
          <w:sz w:val="32"/>
          <w:szCs w:val="32"/>
        </w:rPr>
        <w:t>项目名称：</w:t>
      </w:r>
      <w:r>
        <w:rPr>
          <w:rFonts w:hint="eastAsia" w:ascii="宋体" w:hAnsi="宋体"/>
          <w:b/>
          <w:bCs/>
          <w:color w:val="000000"/>
          <w:sz w:val="32"/>
          <w:szCs w:val="32"/>
        </w:rPr>
        <w:t>实验室化学品盘点及管理系统采购</w:t>
      </w:r>
    </w:p>
    <w:tbl>
      <w:tblPr>
        <w:tblStyle w:val="14"/>
        <w:tblpPr w:leftFromText="180" w:rightFromText="180" w:vertAnchor="text" w:horzAnchor="margin" w:tblpXSpec="center" w:tblpY="36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eastAsia" w:ascii="宋体" w:hAnsi="宋体" w:eastAsia="宋体"/>
          <w:b/>
          <w:color w:val="FF0000"/>
          <w:sz w:val="32"/>
          <w:szCs w:val="32"/>
          <w:lang w:eastAsia="zh-CN"/>
        </w:rPr>
      </w:pPr>
      <w:r>
        <w:rPr>
          <w:rFonts w:hint="eastAsia" w:ascii="宋体" w:hAnsi="宋体"/>
          <w:b/>
          <w:color w:val="000000"/>
          <w:sz w:val="32"/>
          <w:szCs w:val="32"/>
        </w:rPr>
        <w:t>项目编号：衢院招</w:t>
      </w:r>
      <w:r>
        <w:rPr>
          <w:rFonts w:hint="eastAsia" w:ascii="宋体" w:hAnsi="宋体"/>
          <w:b/>
          <w:sz w:val="32"/>
          <w:szCs w:val="32"/>
        </w:rPr>
        <w:t>2021-44</w:t>
      </w:r>
      <w:r>
        <w:rPr>
          <w:rFonts w:hint="eastAsia" w:ascii="宋体" w:hAnsi="宋体"/>
          <w:b/>
          <w:sz w:val="32"/>
          <w:szCs w:val="32"/>
          <w:lang w:eastAsia="zh-CN"/>
        </w:rPr>
        <w:t>（</w:t>
      </w:r>
      <w:r>
        <w:rPr>
          <w:rFonts w:hint="eastAsia" w:ascii="宋体" w:hAnsi="宋体"/>
          <w:b/>
          <w:sz w:val="32"/>
          <w:szCs w:val="32"/>
          <w:lang w:val="en-US" w:eastAsia="zh-CN"/>
        </w:rPr>
        <w:t>1</w:t>
      </w:r>
      <w:r>
        <w:rPr>
          <w:rFonts w:hint="eastAsia" w:ascii="宋体" w:hAnsi="宋体"/>
          <w:b/>
          <w:sz w:val="32"/>
          <w:szCs w:val="32"/>
          <w:lang w:eastAsia="zh-CN"/>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实验室化学品盘点及管理系统</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lang w:val="zh-CN"/>
        </w:rPr>
        <w:t>年月日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w:t>
      </w:r>
      <w:r>
        <w:rPr>
          <w:rFonts w:hint="eastAsia" w:ascii="宋体" w:hAnsi="宋体"/>
          <w:b/>
          <w:sz w:val="32"/>
          <w:szCs w:val="32"/>
        </w:rPr>
        <w:t>招2021-44</w:t>
      </w:r>
      <w:r>
        <w:rPr>
          <w:rFonts w:hint="eastAsia" w:ascii="宋体" w:hAnsi="宋体"/>
          <w:b/>
          <w:sz w:val="32"/>
          <w:szCs w:val="32"/>
          <w:lang w:eastAsia="zh-CN"/>
        </w:rPr>
        <w:t>（</w:t>
      </w:r>
      <w:r>
        <w:rPr>
          <w:rFonts w:hint="eastAsia" w:ascii="宋体" w:hAnsi="宋体"/>
          <w:b/>
          <w:sz w:val="32"/>
          <w:szCs w:val="32"/>
          <w:lang w:val="en-US" w:eastAsia="zh-CN"/>
        </w:rPr>
        <w:t>1</w:t>
      </w:r>
      <w:r>
        <w:rPr>
          <w:rFonts w:hint="eastAsia" w:ascii="宋体" w:hAnsi="宋体"/>
          <w:b/>
          <w:sz w:val="32"/>
          <w:szCs w:val="32"/>
          <w:lang w:eastAsia="zh-CN"/>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实验室化学品盘点及管理系统</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lang w:val="zh-CN"/>
        </w:rPr>
        <w:t>年月日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lang w:eastAsia="zh-CN"/>
      </w:rPr>
    </w:pPr>
    <w:r>
      <w:rPr>
        <w:rFonts w:hint="eastAsia" w:ascii="宋体" w:hAnsi="宋体"/>
      </w:rPr>
      <w:t>项目编号：衢院招2021-44</w:t>
    </w: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72C3717D"/>
    <w:multiLevelType w:val="multilevel"/>
    <w:tmpl w:val="72C3717D"/>
    <w:lvl w:ilvl="0" w:tentative="0">
      <w:start w:val="1"/>
      <w:numFmt w:val="decimal"/>
      <w:lvlText w:val="%1"/>
      <w:lvlJc w:val="left"/>
      <w:pPr>
        <w:ind w:left="390" w:hanging="390"/>
      </w:pPr>
      <w:rPr>
        <w:rFonts w:hint="default"/>
      </w:rPr>
    </w:lvl>
    <w:lvl w:ilvl="1" w:tentative="0">
      <w:start w:val="1"/>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126F4"/>
    <w:rsid w:val="0002174F"/>
    <w:rsid w:val="0003496A"/>
    <w:rsid w:val="00035CA3"/>
    <w:rsid w:val="00037B74"/>
    <w:rsid w:val="00043962"/>
    <w:rsid w:val="00085309"/>
    <w:rsid w:val="00096237"/>
    <w:rsid w:val="000B74A2"/>
    <w:rsid w:val="000C2B21"/>
    <w:rsid w:val="000C4378"/>
    <w:rsid w:val="000E184D"/>
    <w:rsid w:val="00122DC1"/>
    <w:rsid w:val="00130CB1"/>
    <w:rsid w:val="001313CF"/>
    <w:rsid w:val="00132CD6"/>
    <w:rsid w:val="0013616D"/>
    <w:rsid w:val="00141FD9"/>
    <w:rsid w:val="001671D3"/>
    <w:rsid w:val="00176203"/>
    <w:rsid w:val="001C4702"/>
    <w:rsid w:val="001F286C"/>
    <w:rsid w:val="00203EBC"/>
    <w:rsid w:val="00237122"/>
    <w:rsid w:val="002474F0"/>
    <w:rsid w:val="00252A24"/>
    <w:rsid w:val="002648D7"/>
    <w:rsid w:val="002663F6"/>
    <w:rsid w:val="002C2010"/>
    <w:rsid w:val="002D3560"/>
    <w:rsid w:val="002E65B0"/>
    <w:rsid w:val="002E70C2"/>
    <w:rsid w:val="00300C78"/>
    <w:rsid w:val="00306749"/>
    <w:rsid w:val="003307DC"/>
    <w:rsid w:val="00332873"/>
    <w:rsid w:val="0033712A"/>
    <w:rsid w:val="003372C4"/>
    <w:rsid w:val="00337717"/>
    <w:rsid w:val="00372E02"/>
    <w:rsid w:val="00397A3E"/>
    <w:rsid w:val="003A3842"/>
    <w:rsid w:val="003B31AD"/>
    <w:rsid w:val="003B7378"/>
    <w:rsid w:val="0041552F"/>
    <w:rsid w:val="004227F2"/>
    <w:rsid w:val="00423D18"/>
    <w:rsid w:val="004261A8"/>
    <w:rsid w:val="00430925"/>
    <w:rsid w:val="004744D4"/>
    <w:rsid w:val="00483A7D"/>
    <w:rsid w:val="004958B0"/>
    <w:rsid w:val="004B1913"/>
    <w:rsid w:val="004B244A"/>
    <w:rsid w:val="004C6010"/>
    <w:rsid w:val="004E5D35"/>
    <w:rsid w:val="00506CF7"/>
    <w:rsid w:val="00511988"/>
    <w:rsid w:val="005376AE"/>
    <w:rsid w:val="00541069"/>
    <w:rsid w:val="00541279"/>
    <w:rsid w:val="005551A0"/>
    <w:rsid w:val="005618BB"/>
    <w:rsid w:val="005634B6"/>
    <w:rsid w:val="00572547"/>
    <w:rsid w:val="005A34BC"/>
    <w:rsid w:val="005B4BCB"/>
    <w:rsid w:val="005C69CC"/>
    <w:rsid w:val="005C69FC"/>
    <w:rsid w:val="005E446A"/>
    <w:rsid w:val="005E4B29"/>
    <w:rsid w:val="005E64CE"/>
    <w:rsid w:val="005F3771"/>
    <w:rsid w:val="006560B9"/>
    <w:rsid w:val="00660516"/>
    <w:rsid w:val="00683203"/>
    <w:rsid w:val="006C025F"/>
    <w:rsid w:val="006C4D2C"/>
    <w:rsid w:val="006F3A4C"/>
    <w:rsid w:val="006F4B3E"/>
    <w:rsid w:val="007074BF"/>
    <w:rsid w:val="007278C6"/>
    <w:rsid w:val="00731B05"/>
    <w:rsid w:val="00762DC9"/>
    <w:rsid w:val="007749DF"/>
    <w:rsid w:val="00776716"/>
    <w:rsid w:val="007850CE"/>
    <w:rsid w:val="0079604C"/>
    <w:rsid w:val="007A2A17"/>
    <w:rsid w:val="007C2A1E"/>
    <w:rsid w:val="007C42EC"/>
    <w:rsid w:val="007E0805"/>
    <w:rsid w:val="007E092D"/>
    <w:rsid w:val="007F541B"/>
    <w:rsid w:val="008370E3"/>
    <w:rsid w:val="00842EEC"/>
    <w:rsid w:val="00884AA4"/>
    <w:rsid w:val="008B4560"/>
    <w:rsid w:val="008D09DF"/>
    <w:rsid w:val="008D31CC"/>
    <w:rsid w:val="008D64E2"/>
    <w:rsid w:val="008E19E0"/>
    <w:rsid w:val="008E49F2"/>
    <w:rsid w:val="008F2E1F"/>
    <w:rsid w:val="008F327C"/>
    <w:rsid w:val="00906C42"/>
    <w:rsid w:val="00925B2A"/>
    <w:rsid w:val="00932C2D"/>
    <w:rsid w:val="00947630"/>
    <w:rsid w:val="00952929"/>
    <w:rsid w:val="0096248C"/>
    <w:rsid w:val="009728B0"/>
    <w:rsid w:val="009760EC"/>
    <w:rsid w:val="00982308"/>
    <w:rsid w:val="009D1C21"/>
    <w:rsid w:val="009E26A7"/>
    <w:rsid w:val="009F1FC6"/>
    <w:rsid w:val="00A05F30"/>
    <w:rsid w:val="00A27EB9"/>
    <w:rsid w:val="00A4026C"/>
    <w:rsid w:val="00A87676"/>
    <w:rsid w:val="00A93528"/>
    <w:rsid w:val="00A9640F"/>
    <w:rsid w:val="00AA13E3"/>
    <w:rsid w:val="00AF79C6"/>
    <w:rsid w:val="00B06FB2"/>
    <w:rsid w:val="00B10124"/>
    <w:rsid w:val="00B132A6"/>
    <w:rsid w:val="00B43F4F"/>
    <w:rsid w:val="00B5199B"/>
    <w:rsid w:val="00B628ED"/>
    <w:rsid w:val="00B6359B"/>
    <w:rsid w:val="00B75975"/>
    <w:rsid w:val="00B76DCD"/>
    <w:rsid w:val="00B83492"/>
    <w:rsid w:val="00B8359B"/>
    <w:rsid w:val="00BB047B"/>
    <w:rsid w:val="00BB0D88"/>
    <w:rsid w:val="00BB74CF"/>
    <w:rsid w:val="00BD0101"/>
    <w:rsid w:val="00BE49AD"/>
    <w:rsid w:val="00BE6727"/>
    <w:rsid w:val="00BF1981"/>
    <w:rsid w:val="00BF1F76"/>
    <w:rsid w:val="00C04898"/>
    <w:rsid w:val="00C055B1"/>
    <w:rsid w:val="00C30827"/>
    <w:rsid w:val="00C51FAF"/>
    <w:rsid w:val="00C53D60"/>
    <w:rsid w:val="00C6286D"/>
    <w:rsid w:val="00C82A57"/>
    <w:rsid w:val="00CC4C81"/>
    <w:rsid w:val="00CE246E"/>
    <w:rsid w:val="00CE3B7F"/>
    <w:rsid w:val="00D11B97"/>
    <w:rsid w:val="00D21D53"/>
    <w:rsid w:val="00D4247D"/>
    <w:rsid w:val="00D551EC"/>
    <w:rsid w:val="00D7625D"/>
    <w:rsid w:val="00D766D8"/>
    <w:rsid w:val="00D96224"/>
    <w:rsid w:val="00DA3EEC"/>
    <w:rsid w:val="00DA4E51"/>
    <w:rsid w:val="00DC0C6D"/>
    <w:rsid w:val="00DD44BB"/>
    <w:rsid w:val="00DE4260"/>
    <w:rsid w:val="00E21EA2"/>
    <w:rsid w:val="00E3602B"/>
    <w:rsid w:val="00E367B2"/>
    <w:rsid w:val="00E37A17"/>
    <w:rsid w:val="00E70BA0"/>
    <w:rsid w:val="00E83298"/>
    <w:rsid w:val="00EA25F5"/>
    <w:rsid w:val="00EA653E"/>
    <w:rsid w:val="00EC06A5"/>
    <w:rsid w:val="00ED3278"/>
    <w:rsid w:val="00F17DF1"/>
    <w:rsid w:val="00F22BD2"/>
    <w:rsid w:val="00F243F9"/>
    <w:rsid w:val="00F26202"/>
    <w:rsid w:val="00F37339"/>
    <w:rsid w:val="00F7197D"/>
    <w:rsid w:val="00F7531D"/>
    <w:rsid w:val="00F86E31"/>
    <w:rsid w:val="00F93D12"/>
    <w:rsid w:val="00FA056D"/>
    <w:rsid w:val="00FF096E"/>
    <w:rsid w:val="00FF1908"/>
    <w:rsid w:val="00FF66A1"/>
    <w:rsid w:val="061867F2"/>
    <w:rsid w:val="08803DC4"/>
    <w:rsid w:val="08DF08DA"/>
    <w:rsid w:val="09F06821"/>
    <w:rsid w:val="0D5925EF"/>
    <w:rsid w:val="0F74511D"/>
    <w:rsid w:val="111D1927"/>
    <w:rsid w:val="15037DBC"/>
    <w:rsid w:val="17AC1F0B"/>
    <w:rsid w:val="1948617A"/>
    <w:rsid w:val="1AB97476"/>
    <w:rsid w:val="1B8C32B8"/>
    <w:rsid w:val="22371A1A"/>
    <w:rsid w:val="255C3C0A"/>
    <w:rsid w:val="25E9067D"/>
    <w:rsid w:val="269779FB"/>
    <w:rsid w:val="2B4A2E5A"/>
    <w:rsid w:val="2E3C2647"/>
    <w:rsid w:val="2EEC2219"/>
    <w:rsid w:val="35294404"/>
    <w:rsid w:val="384D6503"/>
    <w:rsid w:val="3C9D05CC"/>
    <w:rsid w:val="3D25381F"/>
    <w:rsid w:val="3D5B71E9"/>
    <w:rsid w:val="45264E4C"/>
    <w:rsid w:val="48A8110F"/>
    <w:rsid w:val="491A5544"/>
    <w:rsid w:val="4C5B6C93"/>
    <w:rsid w:val="4E913A23"/>
    <w:rsid w:val="4F940E9D"/>
    <w:rsid w:val="52F17CE8"/>
    <w:rsid w:val="568C134F"/>
    <w:rsid w:val="57CD5A4D"/>
    <w:rsid w:val="581F4439"/>
    <w:rsid w:val="58C5228C"/>
    <w:rsid w:val="597E5CFB"/>
    <w:rsid w:val="5B174D5E"/>
    <w:rsid w:val="6060368E"/>
    <w:rsid w:val="623E0799"/>
    <w:rsid w:val="691C6E83"/>
    <w:rsid w:val="6A7E4843"/>
    <w:rsid w:val="719557D5"/>
    <w:rsid w:val="747F5805"/>
    <w:rsid w:val="75192274"/>
    <w:rsid w:val="76EA3C7A"/>
    <w:rsid w:val="78A53F52"/>
    <w:rsid w:val="799306D5"/>
    <w:rsid w:val="FBFDDDE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27"/>
    <w:qFormat/>
    <w:uiPriority w:val="0"/>
    <w:rPr>
      <w:b/>
      <w:bCs/>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Char"/>
    <w:link w:val="4"/>
    <w:qFormat/>
    <w:uiPriority w:val="0"/>
    <w:rPr>
      <w:kern w:val="2"/>
      <w:sz w:val="21"/>
    </w:rPr>
  </w:style>
  <w:style w:type="character" w:customStyle="1" w:styleId="25">
    <w:name w:val="批注框文本 Char"/>
    <w:basedOn w:val="15"/>
    <w:link w:val="9"/>
    <w:qFormat/>
    <w:uiPriority w:val="0"/>
    <w:rPr>
      <w:kern w:val="2"/>
      <w:sz w:val="18"/>
      <w:szCs w:val="18"/>
    </w:rPr>
  </w:style>
  <w:style w:type="character" w:customStyle="1" w:styleId="26">
    <w:name w:val="批注文字 Char"/>
    <w:basedOn w:val="15"/>
    <w:link w:val="5"/>
    <w:qFormat/>
    <w:uiPriority w:val="0"/>
    <w:rPr>
      <w:kern w:val="2"/>
      <w:sz w:val="21"/>
      <w:szCs w:val="24"/>
    </w:rPr>
  </w:style>
  <w:style w:type="character" w:customStyle="1" w:styleId="27">
    <w:name w:val="批注主题 Char"/>
    <w:basedOn w:val="26"/>
    <w:link w:val="13"/>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39</Pages>
  <Words>3301</Words>
  <Characters>18817</Characters>
  <Lines>156</Lines>
  <Paragraphs>44</Paragraphs>
  <TotalTime>21</TotalTime>
  <ScaleCrop>false</ScaleCrop>
  <LinksUpToDate>false</LinksUpToDate>
  <CharactersWithSpaces>22074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2021-09-10T00:39:00Z</dcterms:created>
  <dc:creator>周建红</dc:creator>
  <cp:lastModifiedBy>Administrator</cp:lastModifiedBy>
  <cp:lastPrinted>2021-10-09T06:45:00Z</cp:lastPrinted>
  <dcterms:modified xsi:type="dcterms:W3CDTF">2021-10-09T06:55:33Z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2952384B32DB4A2C9C3317F359D61AF5</vt:lpwstr>
  </property>
</Properties>
</file>