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hint="eastAsia" w:ascii="黑体" w:hAnsi="黑体" w:eastAsia="黑体" w:cs="黑体"/>
          <w:b/>
          <w:bCs w:val="0"/>
          <w:color w:val="000000"/>
          <w:spacing w:val="-11"/>
          <w:kern w:val="0"/>
          <w:sz w:val="44"/>
          <w:szCs w:val="44"/>
          <w:lang w:val="en-US" w:eastAsia="zh-CN"/>
        </w:rPr>
      </w:pPr>
      <w:r>
        <w:rPr>
          <w:rFonts w:hint="eastAsia" w:ascii="黑体" w:hAnsi="黑体" w:eastAsia="黑体" w:cs="黑体"/>
          <w:b/>
          <w:bCs w:val="0"/>
          <w:color w:val="000000"/>
          <w:spacing w:val="-11"/>
          <w:kern w:val="0"/>
          <w:sz w:val="44"/>
          <w:szCs w:val="44"/>
        </w:rPr>
        <w:t>实验安全教育及氟硅钴</w:t>
      </w:r>
      <w:r>
        <w:rPr>
          <w:rFonts w:hint="eastAsia" w:ascii="黑体" w:hAnsi="黑体" w:eastAsia="黑体" w:cs="黑体"/>
          <w:b/>
          <w:bCs w:val="0"/>
          <w:color w:val="000000"/>
          <w:spacing w:val="-11"/>
          <w:kern w:val="0"/>
          <w:sz w:val="44"/>
          <w:szCs w:val="44"/>
          <w:lang w:val="en-US" w:eastAsia="zh-CN"/>
        </w:rPr>
        <w:t>产业动画演示</w:t>
      </w:r>
    </w:p>
    <w:p>
      <w:pPr>
        <w:spacing w:line="360" w:lineRule="auto"/>
        <w:jc w:val="center"/>
        <w:rPr>
          <w:rFonts w:hint="eastAsia" w:ascii="黑体" w:hAnsi="黑体" w:eastAsia="黑体" w:cs="黑体"/>
          <w:b/>
          <w:bCs w:val="0"/>
          <w:color w:val="000000"/>
          <w:spacing w:val="-11"/>
          <w:kern w:val="0"/>
          <w:sz w:val="44"/>
          <w:szCs w:val="44"/>
        </w:rPr>
      </w:pPr>
      <w:r>
        <w:rPr>
          <w:rFonts w:hint="eastAsia" w:ascii="黑体" w:hAnsi="黑体" w:eastAsia="黑体" w:cs="黑体"/>
          <w:b/>
          <w:bCs w:val="0"/>
          <w:color w:val="000000"/>
          <w:spacing w:val="-11"/>
          <w:kern w:val="0"/>
          <w:sz w:val="44"/>
          <w:szCs w:val="44"/>
        </w:rPr>
        <w:t>虚拟仿真项目</w:t>
      </w:r>
    </w:p>
    <w:p>
      <w:pPr>
        <w:spacing w:line="360" w:lineRule="auto"/>
        <w:rPr>
          <w:rFonts w:hint="eastAsia" w:ascii="黑体" w:hAnsi="黑体" w:eastAsia="黑体" w:cs="黑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8</w:t>
      </w:r>
      <w:r>
        <w:rPr>
          <w:b/>
          <w:bCs/>
          <w:color w:val="000000"/>
          <w:sz w:val="32"/>
        </w:rPr>
        <w:t>月</w:t>
      </w:r>
    </w:p>
    <w:p>
      <w:pPr>
        <w:pStyle w:val="12"/>
        <w:spacing w:line="360" w:lineRule="auto"/>
        <w:ind w:left="210" w:leftChars="100"/>
        <w:jc w:val="center"/>
        <w:rPr>
          <w:rFonts w:ascii="Times New Roman" w:eastAsia="宋体"/>
          <w:color w:val="000000"/>
        </w:rPr>
      </w:pPr>
    </w:p>
    <w:p>
      <w:pPr>
        <w:pStyle w:val="12"/>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rPr>
        <w:t>3</w:t>
      </w:r>
      <w:r>
        <w:rPr>
          <w:rFonts w:hint="eastAsia"/>
          <w:color w:val="000000"/>
          <w:sz w:val="32"/>
          <w:lang w:val="en-US" w:eastAsia="zh-CN"/>
        </w:rPr>
        <w:t>5</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rPr>
        <w:t>3</w:t>
      </w:r>
      <w:r>
        <w:rPr>
          <w:rFonts w:hint="eastAsia"/>
          <w:color w:val="000000"/>
          <w:sz w:val="32"/>
          <w:lang w:val="en-US" w:eastAsia="zh-CN"/>
        </w:rPr>
        <w:t>9</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44</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实验安全教育及氟硅钴产业动画演示虚拟仿真项目</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eastAsia" w:ascii="宋体" w:hAnsi="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40</w:t>
      </w:r>
    </w:p>
    <w:p>
      <w:pPr>
        <w:spacing w:line="440" w:lineRule="exact"/>
        <w:ind w:firstLine="495"/>
        <w:rPr>
          <w:rFonts w:ascii="宋体" w:hAnsi="宋体" w:cs="宋体"/>
          <w:b/>
          <w:bCs/>
          <w:color w:val="000000"/>
          <w:sz w:val="24"/>
        </w:rPr>
      </w:pPr>
      <w:r>
        <w:rPr>
          <w:rFonts w:hint="eastAsia" w:ascii="宋体" w:hAnsi="宋体" w:cs="宋体"/>
          <w:b/>
          <w:color w:val="000000"/>
          <w:sz w:val="24"/>
        </w:rPr>
        <w:t xml:space="preserve">二、项目名称：实验安全教育及氟硅钴产业动画演示虚拟仿真项目 </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7"/>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978"/>
        <w:gridCol w:w="2140"/>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1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 xml:space="preserve"> 实验安全教育及氟硅钴产业动画演示虚拟仿真软件</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c>
          <w:tcPr>
            <w:tcW w:w="21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hint="eastAsia" w:ascii="宋体" w:hAnsi="宋体" w:cs="宋体"/>
                <w:color w:val="000000" w:themeColor="text1"/>
                <w:kern w:val="0"/>
                <w:sz w:val="24"/>
                <w:lang w:val="en-US" w:eastAsia="zh-CN"/>
                <w14:textFill>
                  <w14:solidFill>
                    <w14:schemeClr w14:val="tx1"/>
                  </w14:solidFill>
                </w14:textFill>
              </w:rPr>
              <w:t>80</w:t>
            </w:r>
            <w:r>
              <w:rPr>
                <w:rFonts w:hint="eastAsia" w:ascii="宋体" w:hAnsi="宋体" w:cs="宋体"/>
                <w:color w:val="000000" w:themeColor="text1"/>
                <w:kern w:val="0"/>
                <w:sz w:val="24"/>
                <w14:textFill>
                  <w14:solidFill>
                    <w14:schemeClr w14:val="tx1"/>
                  </w14:solidFill>
                </w14:textFill>
              </w:rPr>
              <w:t xml:space="preserve"> </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6"/>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6"/>
        <w:spacing w:before="0" w:beforeAutospacing="0" w:after="0" w:afterAutospacing="0" w:line="420" w:lineRule="exact"/>
        <w:rPr>
          <w:rFonts w:hint="eastAsia" w:cs="宋体"/>
          <w:color w:val="000000"/>
        </w:rPr>
      </w:pPr>
      <w:r>
        <w:rPr>
          <w:rFonts w:hint="eastAsia" w:cs="宋体"/>
          <w:color w:val="000000"/>
        </w:rPr>
        <w:t>   2.落实政府采购政策需满足的资格要求：</w:t>
      </w:r>
      <w:r>
        <w:rPr>
          <w:rFonts w:hint="eastAsia" w:cs="宋体"/>
          <w:color w:val="000000"/>
          <w:lang w:eastAsia="zh-CN"/>
        </w:rPr>
        <w:t>无。</w:t>
      </w:r>
      <w:r>
        <w:rPr>
          <w:rFonts w:hint="eastAsia" w:cs="宋体"/>
          <w:color w:val="000000"/>
        </w:rPr>
        <w:t xml:space="preserve">   </w:t>
      </w:r>
    </w:p>
    <w:p>
      <w:pPr>
        <w:pStyle w:val="16"/>
        <w:spacing w:before="0" w:beforeAutospacing="0" w:after="0" w:afterAutospacing="0" w:line="420" w:lineRule="exact"/>
        <w:ind w:firstLine="480" w:firstLineChars="200"/>
        <w:rPr>
          <w:rFonts w:cs="宋体"/>
          <w:color w:val="000000"/>
        </w:rPr>
      </w:pPr>
      <w:r>
        <w:rPr>
          <w:rFonts w:hint="eastAsia" w:cs="宋体"/>
          <w:color w:val="000000"/>
        </w:rPr>
        <w:t>3.本项目的特定资格要求：无。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1.时间：/至2022年</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日，每天上午00:00至12:00，下午12:00至23:59（北京时间，线上获取法定节假日均可，线下获取文件法定节假日除外）</w:t>
      </w:r>
    </w:p>
    <w:p>
      <w:pPr>
        <w:tabs>
          <w:tab w:val="left" w:pos="2366"/>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2.地点（网址）：政采云平台https://www.zcygov.cn/ </w:t>
      </w:r>
    </w:p>
    <w:p>
      <w:pPr>
        <w:tabs>
          <w:tab w:val="left" w:pos="2366"/>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4.售价（元）：0 </w:t>
      </w:r>
    </w:p>
    <w:p>
      <w:pPr>
        <w:pStyle w:val="16"/>
        <w:spacing w:before="0" w:beforeAutospacing="0" w:after="0" w:afterAutospacing="0" w:line="360" w:lineRule="auto"/>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六、投标说明</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1"/>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000000" w:themeColor="text1"/>
          <w:sz w:val="24"/>
          <w14:textFill>
            <w14:solidFill>
              <w14:schemeClr w14:val="tx1"/>
            </w14:solidFill>
          </w14:textFill>
        </w:rPr>
        <w:t>CA驱动和申领流程</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”进行查阅。完成CA数字证书办理预计一周左右，建议各投标人抓紧时间办理。CA数字证书使用中出现问题可拨打技术支持电话咨询，联系方式：400-888-4636。</w:t>
      </w:r>
    </w:p>
    <w:p>
      <w:pPr>
        <w:pStyle w:val="16"/>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9</w:t>
      </w:r>
      <w:r>
        <w:rPr>
          <w:rFonts w:hint="eastAsia" w:cs="宋体"/>
          <w:b/>
          <w:bCs/>
          <w:kern w:val="2"/>
        </w:rPr>
        <w:t>月</w:t>
      </w:r>
      <w:r>
        <w:rPr>
          <w:rFonts w:hint="eastAsia" w:cs="宋体"/>
          <w:b/>
          <w:bCs/>
          <w:kern w:val="2"/>
          <w:lang w:val="en-US" w:eastAsia="zh-CN"/>
        </w:rPr>
        <w:t>7</w:t>
      </w:r>
      <w:r>
        <w:rPr>
          <w:rFonts w:hint="eastAsia" w:cs="宋体"/>
          <w:b/>
          <w:bCs/>
          <w:kern w:val="2"/>
        </w:rPr>
        <w:t>日14:30时（北京时间）</w:t>
      </w:r>
    </w:p>
    <w:p>
      <w:pPr>
        <w:pStyle w:val="11"/>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6"/>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spacing w:line="440" w:lineRule="exact"/>
        <w:ind w:firstLine="482" w:firstLineChars="200"/>
      </w:pPr>
      <w:r>
        <w:rPr>
          <w:rFonts w:hint="eastAsia"/>
          <w:b/>
          <w:bCs/>
          <w:color w:val="0070C0"/>
          <w:sz w:val="24"/>
          <w:highlight w:val="yellow"/>
        </w:rPr>
        <w:t>3.本项目有功能演示环节，请准备一份“演示录制视频 ”在投标截止前通过EMS或顺丰邮寄方式寄送至“浙江省衢州市九华北大道78号衢州学院采购中心周老师收”。“演示录制视频 ”时间控制在15分钟以内；视频格式要求为Avi、MP4等常用格式，以U盘单独密封提交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b/>
          <w:bCs/>
          <w:sz w:val="24"/>
        </w:rPr>
        <w:t>化学与材料工程</w:t>
      </w:r>
      <w:r>
        <w:rPr>
          <w:rFonts w:hint="eastAsia" w:ascii="宋体" w:hAnsi="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2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C00000"/>
          <w:kern w:val="0"/>
          <w:sz w:val="24"/>
        </w:rPr>
      </w:pPr>
      <w:r>
        <w:rPr>
          <w:rFonts w:hint="eastAsia" w:ascii="宋体" w:hAnsi="宋体" w:cs="宋体"/>
          <w:color w:val="000000"/>
          <w:kern w:val="0"/>
          <w:sz w:val="24"/>
        </w:rPr>
        <w:t>质疑答复联系人：郑老师；电话：0570-8015028，13567021518。</w:t>
      </w:r>
      <w:r>
        <w:rPr>
          <w:rFonts w:hint="eastAsia" w:ascii="宋体" w:hAnsi="宋体" w:cs="宋体"/>
          <w:color w:val="C00000"/>
          <w:kern w:val="0"/>
          <w:sz w:val="24"/>
        </w:rPr>
        <w:t xml:space="preserve">  </w:t>
      </w:r>
    </w:p>
    <w:p>
      <w:pPr>
        <w:spacing w:line="440" w:lineRule="exact"/>
        <w:ind w:left="479" w:leftChars="228" w:firstLine="12" w:firstLineChars="5"/>
        <w:rPr>
          <w:rFonts w:hint="eastAsia" w:ascii="宋体" w:hAnsi="宋体" w:eastAsia="宋体" w:cs="宋体"/>
          <w:color w:val="000000"/>
          <w:kern w:val="0"/>
          <w:sz w:val="24"/>
          <w:lang w:eastAsia="zh-CN"/>
        </w:rPr>
      </w:pPr>
      <w:r>
        <w:rPr>
          <w:rFonts w:hint="eastAsia" w:ascii="宋体" w:hAnsi="宋体" w:cs="宋体"/>
          <w:color w:val="000000"/>
          <w:kern w:val="0"/>
          <w:sz w:val="24"/>
        </w:rPr>
        <w:t>项目技术答疑联系人：</w:t>
      </w:r>
      <w:r>
        <w:rPr>
          <w:rFonts w:hint="eastAsia" w:ascii="宋体" w:hAnsi="宋体" w:cs="宋体"/>
          <w:color w:val="000000"/>
          <w:kern w:val="0"/>
          <w:sz w:val="24"/>
          <w:lang w:eastAsia="zh-CN"/>
        </w:rPr>
        <w:t>金</w:t>
      </w:r>
      <w:r>
        <w:rPr>
          <w:rFonts w:hint="eastAsia" w:ascii="宋体" w:hAnsi="宋体" w:cs="宋体"/>
          <w:color w:val="000000"/>
          <w:kern w:val="0"/>
          <w:sz w:val="24"/>
        </w:rPr>
        <w:t>老师</w:t>
      </w:r>
      <w:r>
        <w:rPr>
          <w:rFonts w:hint="eastAsia" w:ascii="宋体" w:hAnsi="宋体" w:cs="宋体"/>
          <w:color w:val="000000"/>
          <w:kern w:val="0"/>
          <w:sz w:val="24"/>
          <w:lang w:eastAsia="zh-CN"/>
        </w:rPr>
        <w:t>，</w:t>
      </w:r>
      <w:r>
        <w:rPr>
          <w:rFonts w:hint="eastAsia" w:ascii="宋体" w:hAnsi="宋体" w:cs="宋体"/>
          <w:color w:val="000000"/>
          <w:kern w:val="0"/>
          <w:sz w:val="24"/>
        </w:rPr>
        <w:t>13587037182</w:t>
      </w:r>
      <w:r>
        <w:rPr>
          <w:rFonts w:hint="eastAsia" w:ascii="宋体" w:hAnsi="宋体" w:cs="宋体"/>
          <w:color w:val="000000"/>
          <w:kern w:val="0"/>
          <w:sz w:val="24"/>
          <w:lang w:eastAsia="zh-CN"/>
        </w:rPr>
        <w:t>；刘老师，15857048726。</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15"/>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18</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7"/>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trHeight w:val="90" w:hRule="atLeast"/>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7"/>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1"/>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0"/>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2"/>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w:t>
      </w:r>
      <w:r>
        <w:rPr>
          <w:rFonts w:hint="eastAsia" w:ascii="宋体" w:hAnsi="宋体" w:cs="宋体"/>
          <w:b/>
          <w:color w:val="000000"/>
          <w:sz w:val="24"/>
          <w:lang w:val="en-US" w:eastAsia="zh-CN"/>
        </w:rPr>
        <w:t>1</w:t>
      </w:r>
      <w:r>
        <w:rPr>
          <w:rFonts w:hint="eastAsia" w:ascii="宋体" w:hAnsi="宋体" w:cs="宋体"/>
          <w:b/>
          <w:color w:val="000000"/>
          <w:sz w:val="24"/>
        </w:rPr>
        <w:t>%。</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w:t>
      </w:r>
      <w:r>
        <w:rPr>
          <w:rFonts w:hint="eastAsia" w:ascii="宋体" w:hAnsi="宋体" w:cs="宋体"/>
          <w:b/>
          <w:bCs/>
          <w:color w:val="FF0000"/>
          <w:kern w:val="0"/>
          <w:sz w:val="24"/>
          <w:highlight w:val="yellow"/>
          <w:lang w:val="en-US" w:eastAsia="zh-CN"/>
        </w:rPr>
        <w:t>2</w:t>
      </w:r>
      <w:r>
        <w:rPr>
          <w:rFonts w:hint="eastAsia" w:ascii="宋体" w:hAnsi="宋体" w:cs="宋体"/>
          <w:b/>
          <w:bCs/>
          <w:color w:val="FF0000"/>
          <w:kern w:val="0"/>
          <w:sz w:val="24"/>
          <w:highlight w:val="yellow"/>
        </w:rPr>
        <w:t>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0000FF"/>
          <w:kern w:val="0"/>
          <w:sz w:val="24"/>
          <w14:textFill>
            <w14:gradFill>
              <w14:gsLst>
                <w14:gs w14:pos="0">
                  <w14:srgbClr w14:val="FE4444"/>
                </w14:gs>
                <w14:gs w14:pos="100000">
                  <w14:srgbClr w14:val="832B2B"/>
                </w14:gs>
              </w14:gsLst>
              <w14:lin w14:ang="0" w14:scaled="0"/>
            </w14:gradFill>
          </w14:textFill>
        </w:rPr>
        <w:t>90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质保期三年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42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20" w:lineRule="exact"/>
        <w:ind w:firstLine="495"/>
        <w:rPr>
          <w:rFonts w:hint="eastAsia" w:ascii="宋体" w:hAnsi="宋体" w:cs="宋体"/>
          <w:bCs/>
          <w:sz w:val="24"/>
        </w:rPr>
      </w:pPr>
      <w:r>
        <w:rPr>
          <w:rFonts w:hint="eastAsia" w:ascii="宋体" w:hAnsi="宋体" w:cs="宋体"/>
          <w:bCs/>
          <w:sz w:val="24"/>
        </w:rPr>
        <w:t>质疑答复联系人：郑老师；电话：0570-8015028，13567021518。</w:t>
      </w:r>
    </w:p>
    <w:p>
      <w:pPr>
        <w:spacing w:line="420" w:lineRule="exact"/>
        <w:ind w:firstLine="495"/>
        <w:rPr>
          <w:rFonts w:hint="eastAsia" w:ascii="宋体" w:hAnsi="宋体" w:cs="宋体"/>
          <w:bCs/>
          <w:sz w:val="24"/>
          <w:lang w:eastAsia="zh-CN"/>
        </w:rPr>
      </w:pPr>
      <w:r>
        <w:rPr>
          <w:rFonts w:hint="eastAsia" w:ascii="宋体" w:hAnsi="宋体" w:cs="宋体"/>
          <w:bCs/>
          <w:sz w:val="24"/>
        </w:rPr>
        <w:t>项目技术答疑联系人：</w:t>
      </w:r>
      <w:r>
        <w:rPr>
          <w:rFonts w:hint="eastAsia" w:ascii="宋体" w:hAnsi="宋体" w:cs="宋体"/>
          <w:bCs/>
          <w:sz w:val="24"/>
          <w:lang w:eastAsia="zh-CN"/>
        </w:rPr>
        <w:t>金</w:t>
      </w:r>
      <w:r>
        <w:rPr>
          <w:rFonts w:hint="eastAsia" w:ascii="宋体" w:hAnsi="宋体" w:cs="宋体"/>
          <w:bCs/>
          <w:sz w:val="24"/>
        </w:rPr>
        <w:t>老师</w:t>
      </w:r>
      <w:r>
        <w:rPr>
          <w:rFonts w:hint="eastAsia" w:ascii="宋体" w:hAnsi="宋体" w:cs="宋体"/>
          <w:bCs/>
          <w:sz w:val="24"/>
          <w:lang w:eastAsia="zh-CN"/>
        </w:rPr>
        <w:t>，</w:t>
      </w:r>
      <w:r>
        <w:rPr>
          <w:rFonts w:hint="eastAsia" w:ascii="宋体" w:hAnsi="宋体" w:cs="宋体"/>
          <w:bCs/>
          <w:sz w:val="24"/>
        </w:rPr>
        <w:t>13587037182</w:t>
      </w:r>
      <w:r>
        <w:rPr>
          <w:rFonts w:hint="eastAsia" w:ascii="宋体" w:hAnsi="宋体" w:cs="宋体"/>
          <w:bCs/>
          <w:sz w:val="24"/>
          <w:lang w:eastAsia="zh-CN"/>
        </w:rPr>
        <w:t>；刘老师，15857048726。</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15"/>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24"/>
          <w14:textFill>
            <w14:solidFill>
              <w14:schemeClr w14:val="tx1"/>
            </w14:solidFill>
          </w14:textFill>
        </w:rPr>
      </w:pPr>
      <w:r>
        <w:rPr>
          <w:b/>
          <w:color w:val="000000" w:themeColor="text1"/>
          <w:sz w:val="32"/>
          <w:szCs w:val="32"/>
          <w14:textFill>
            <w14:solidFill>
              <w14:schemeClr w14:val="tx1"/>
            </w14:solidFill>
          </w14:textFill>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3"/>
        </w:numPr>
        <w:spacing w:line="360" w:lineRule="auto"/>
        <w:ind w:firstLine="482" w:firstLineChars="200"/>
        <w:rPr>
          <w:b/>
          <w:color w:val="000000"/>
          <w:sz w:val="24"/>
        </w:rPr>
      </w:pPr>
      <w:r>
        <w:rPr>
          <w:b/>
          <w:color w:val="000000"/>
          <w:sz w:val="24"/>
        </w:rPr>
        <w:t>采购内容</w:t>
      </w:r>
    </w:p>
    <w:tbl>
      <w:tblPr>
        <w:tblStyle w:val="17"/>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659"/>
        <w:gridCol w:w="1795"/>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序号</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3659" w:type="dxa"/>
            <w:tcBorders>
              <w:top w:val="single" w:color="auto" w:sz="4" w:space="0"/>
              <w:left w:val="single" w:color="auto" w:sz="4" w:space="0"/>
              <w:bottom w:val="single" w:color="auto" w:sz="4" w:space="0"/>
              <w:right w:val="single" w:color="auto" w:sz="4" w:space="0"/>
            </w:tcBorders>
          </w:tcPr>
          <w:p>
            <w:pPr>
              <w:pStyle w:val="32"/>
              <w:jc w:val="center"/>
              <w:rPr>
                <w:rFonts w:ascii="宋体" w:hAnsi="宋体" w:cs="宋体"/>
                <w:kern w:val="0"/>
                <w:sz w:val="24"/>
                <w:lang w:bidi="ar"/>
              </w:rPr>
            </w:pPr>
            <w:r>
              <w:t>实验室安全VR系统</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3659" w:type="dxa"/>
            <w:tcBorders>
              <w:top w:val="single" w:color="auto" w:sz="4" w:space="0"/>
              <w:left w:val="single" w:color="auto" w:sz="4" w:space="0"/>
              <w:bottom w:val="single" w:color="auto" w:sz="4" w:space="0"/>
              <w:right w:val="single" w:color="auto" w:sz="4" w:space="0"/>
            </w:tcBorders>
          </w:tcPr>
          <w:p>
            <w:pPr>
              <w:pStyle w:val="32"/>
              <w:jc w:val="center"/>
              <w:rPr>
                <w:rFonts w:ascii="宋体" w:hAnsi="宋体" w:cs="宋体"/>
                <w:kern w:val="0"/>
                <w:sz w:val="24"/>
                <w:lang w:bidi="ar"/>
              </w:rPr>
            </w:pPr>
            <w:r>
              <w:t>实验室安全虚拟现实3D培训考试系统</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3659" w:type="dxa"/>
            <w:tcBorders>
              <w:top w:val="single" w:color="auto" w:sz="4" w:space="0"/>
              <w:left w:val="single" w:color="auto" w:sz="4" w:space="0"/>
              <w:bottom w:val="single" w:color="auto" w:sz="4" w:space="0"/>
              <w:right w:val="single" w:color="auto" w:sz="4" w:space="0"/>
            </w:tcBorders>
          </w:tcPr>
          <w:p>
            <w:pPr>
              <w:pStyle w:val="32"/>
              <w:jc w:val="center"/>
              <w:rPr>
                <w:rFonts w:ascii="宋体" w:hAnsi="宋体" w:cs="宋体"/>
                <w:kern w:val="0"/>
                <w:sz w:val="24"/>
                <w:lang w:bidi="ar"/>
              </w:rPr>
            </w:pPr>
            <w:r>
              <w:rPr>
                <w:rFonts w:hint="eastAsia"/>
              </w:rPr>
              <w:t>HSE双重预防体系</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3659" w:type="dxa"/>
            <w:tcBorders>
              <w:top w:val="single" w:color="auto" w:sz="4" w:space="0"/>
              <w:left w:val="single" w:color="auto" w:sz="4" w:space="0"/>
              <w:bottom w:val="single" w:color="auto" w:sz="4" w:space="0"/>
              <w:right w:val="single" w:color="auto" w:sz="4" w:space="0"/>
            </w:tcBorders>
          </w:tcPr>
          <w:p>
            <w:pPr>
              <w:pStyle w:val="32"/>
              <w:jc w:val="center"/>
              <w:rPr>
                <w:rFonts w:ascii="宋体" w:hAnsi="宋体" w:cs="宋体"/>
                <w:kern w:val="0"/>
                <w:sz w:val="24"/>
                <w:lang w:bidi="ar"/>
              </w:rPr>
            </w:pPr>
            <w:r>
              <w:t>典型化工厂3D虚拟现实生产实习仿真软件</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3659" w:type="dxa"/>
            <w:tcBorders>
              <w:top w:val="single" w:color="auto" w:sz="4" w:space="0"/>
              <w:left w:val="single" w:color="auto" w:sz="4" w:space="0"/>
              <w:bottom w:val="single" w:color="auto" w:sz="4" w:space="0"/>
              <w:right w:val="single" w:color="auto" w:sz="4" w:space="0"/>
            </w:tcBorders>
          </w:tcPr>
          <w:p>
            <w:pPr>
              <w:pStyle w:val="32"/>
              <w:jc w:val="center"/>
              <w:rPr>
                <w:rFonts w:hint="default" w:ascii="宋体" w:hAnsi="宋体" w:eastAsia="宋体" w:cs="宋体"/>
                <w:kern w:val="0"/>
                <w:sz w:val="24"/>
                <w:lang w:val="en-US" w:eastAsia="zh-CN" w:bidi="ar"/>
              </w:rPr>
            </w:pPr>
            <w:r>
              <w:rPr>
                <w:rFonts w:hint="eastAsia"/>
              </w:rPr>
              <w:t>氟产业链3D</w:t>
            </w:r>
            <w:r>
              <w:rPr>
                <w:rFonts w:hint="eastAsia"/>
                <w:lang w:val="en-US" w:eastAsia="zh-CN"/>
              </w:rPr>
              <w:t>展示视频</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3659" w:type="dxa"/>
            <w:tcBorders>
              <w:top w:val="single" w:color="auto" w:sz="4" w:space="0"/>
              <w:left w:val="single" w:color="auto" w:sz="4" w:space="0"/>
              <w:bottom w:val="single" w:color="auto" w:sz="4" w:space="0"/>
              <w:right w:val="single" w:color="auto" w:sz="4" w:space="0"/>
            </w:tcBorders>
          </w:tcPr>
          <w:p>
            <w:pPr>
              <w:pStyle w:val="32"/>
              <w:jc w:val="center"/>
              <w:rPr>
                <w:rFonts w:ascii="宋体" w:hAnsi="宋体" w:cs="宋体"/>
                <w:kern w:val="0"/>
                <w:sz w:val="24"/>
                <w:lang w:bidi="ar"/>
              </w:rPr>
            </w:pPr>
            <w:r>
              <w:rPr>
                <w:rFonts w:hint="eastAsia"/>
              </w:rPr>
              <w:t>硅产业链3D</w:t>
            </w:r>
            <w:r>
              <w:rPr>
                <w:rFonts w:hint="eastAsia"/>
                <w:lang w:val="en-US" w:eastAsia="zh-CN"/>
              </w:rPr>
              <w:t>展示视频</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3659" w:type="dxa"/>
            <w:tcBorders>
              <w:top w:val="single" w:color="auto" w:sz="4" w:space="0"/>
              <w:left w:val="single" w:color="auto" w:sz="4" w:space="0"/>
              <w:bottom w:val="single" w:color="auto" w:sz="4" w:space="0"/>
              <w:right w:val="single" w:color="auto" w:sz="4" w:space="0"/>
            </w:tcBorders>
          </w:tcPr>
          <w:p>
            <w:pPr>
              <w:pStyle w:val="32"/>
              <w:jc w:val="center"/>
              <w:rPr>
                <w:rFonts w:ascii="宋体" w:hAnsi="宋体" w:cs="宋体"/>
                <w:kern w:val="0"/>
                <w:sz w:val="24"/>
                <w:lang w:bidi="ar"/>
              </w:rPr>
            </w:pPr>
            <w:r>
              <w:rPr>
                <w:rFonts w:hint="eastAsia"/>
              </w:rPr>
              <w:t>钴产业链3D</w:t>
            </w:r>
            <w:r>
              <w:rPr>
                <w:rFonts w:hint="eastAsia"/>
                <w:lang w:val="en-US" w:eastAsia="zh-CN"/>
              </w:rPr>
              <w:t>展示视频</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bl>
    <w:p>
      <w:pPr>
        <w:spacing w:line="360" w:lineRule="auto"/>
        <w:ind w:firstLine="482" w:firstLineChars="200"/>
        <w:rPr>
          <w:b/>
          <w:color w:val="000000"/>
          <w:sz w:val="24"/>
        </w:rPr>
      </w:pPr>
      <w:r>
        <w:rPr>
          <w:rFonts w:hint="eastAsia"/>
          <w:b/>
          <w:color w:val="000000"/>
          <w:sz w:val="24"/>
        </w:rPr>
        <w:t>二、</w:t>
      </w:r>
      <w:r>
        <w:rPr>
          <w:b/>
          <w:color w:val="000000"/>
          <w:sz w:val="24"/>
        </w:rPr>
        <w:t>技术参数</w:t>
      </w:r>
      <w:r>
        <w:rPr>
          <w:rFonts w:hint="eastAsia"/>
          <w:b/>
          <w:color w:val="000000"/>
          <w:sz w:val="24"/>
        </w:rPr>
        <w:t>要求</w:t>
      </w:r>
    </w:p>
    <w:tbl>
      <w:tblPr>
        <w:tblStyle w:val="17"/>
        <w:tblW w:w="8799"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1105"/>
        <w:gridCol w:w="7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26" w:type="dxa"/>
            <w:vAlign w:val="center"/>
          </w:tcPr>
          <w:p>
            <w:pPr>
              <w:pStyle w:val="31"/>
              <w:spacing w:line="300" w:lineRule="auto"/>
              <w:ind w:left="7"/>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序号</w:t>
            </w:r>
          </w:p>
        </w:tc>
        <w:tc>
          <w:tcPr>
            <w:tcW w:w="1105" w:type="dxa"/>
            <w:vAlign w:val="center"/>
          </w:tcPr>
          <w:p>
            <w:pPr>
              <w:pStyle w:val="31"/>
              <w:spacing w:line="300" w:lineRule="auto"/>
              <w:ind w:left="127" w:right="116"/>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设备</w:t>
            </w:r>
          </w:p>
          <w:p>
            <w:pPr>
              <w:pStyle w:val="31"/>
              <w:spacing w:line="300" w:lineRule="auto"/>
              <w:ind w:left="127" w:right="116"/>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名称</w:t>
            </w:r>
          </w:p>
        </w:tc>
        <w:tc>
          <w:tcPr>
            <w:tcW w:w="7168" w:type="dxa"/>
            <w:vAlign w:val="center"/>
          </w:tcPr>
          <w:p>
            <w:pPr>
              <w:pStyle w:val="31"/>
              <w:spacing w:line="300" w:lineRule="auto"/>
              <w:ind w:left="108"/>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功能及技术参数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526" w:type="dxa"/>
            <w:vAlign w:val="center"/>
          </w:tcPr>
          <w:p>
            <w:pPr>
              <w:pStyle w:val="31"/>
              <w:spacing w:line="300" w:lineRule="auto"/>
              <w:ind w:left="7"/>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1</w:t>
            </w:r>
          </w:p>
        </w:tc>
        <w:tc>
          <w:tcPr>
            <w:tcW w:w="1105" w:type="dxa"/>
            <w:vAlign w:val="center"/>
          </w:tcPr>
          <w:p>
            <w:pPr>
              <w:pStyle w:val="32"/>
              <w:jc w:val="center"/>
              <w:rPr>
                <w:rFonts w:ascii="宋体" w:hAnsi="宋体" w:cs="宋体"/>
                <w:color w:val="auto"/>
                <w:kern w:val="0"/>
                <w:szCs w:val="21"/>
              </w:rPr>
            </w:pPr>
            <w:r>
              <w:rPr>
                <w:rFonts w:hint="eastAsia" w:ascii="宋体" w:hAnsi="宋体" w:cs="宋体"/>
                <w:color w:val="auto"/>
                <w:szCs w:val="21"/>
              </w:rPr>
              <w:t>实验室安全VR系统</w:t>
            </w:r>
          </w:p>
        </w:tc>
        <w:tc>
          <w:tcPr>
            <w:tcW w:w="7168" w:type="dxa"/>
            <w:vAlign w:val="center"/>
          </w:tcPr>
          <w:p>
            <w:pPr>
              <w:adjustRightInd w:val="0"/>
              <w:snapToGrid w:val="0"/>
              <w:spacing w:line="240" w:lineRule="auto"/>
              <w:rPr>
                <w:rFonts w:ascii="宋体" w:hAnsi="宋体" w:cs="宋体"/>
              </w:rPr>
            </w:pPr>
            <w:r>
              <w:rPr>
                <w:rFonts w:hint="eastAsia" w:ascii="宋体" w:hAnsi="宋体" w:cs="宋体"/>
              </w:rPr>
              <w:t>1</w:t>
            </w:r>
            <w:r>
              <w:rPr>
                <w:rFonts w:hint="eastAsia" w:ascii="宋体" w:hAnsi="宋体" w:cs="宋体"/>
                <w:lang w:val="en-US" w:eastAsia="zh-CN"/>
              </w:rPr>
              <w:t>.</w:t>
            </w:r>
            <w:r>
              <w:rPr>
                <w:rFonts w:hint="eastAsia" w:ascii="宋体" w:hAnsi="宋体" w:cs="宋体"/>
              </w:rPr>
              <w:t>主要要求</w:t>
            </w:r>
          </w:p>
          <w:p>
            <w:pPr>
              <w:adjustRightInd w:val="0"/>
              <w:snapToGrid w:val="0"/>
              <w:spacing w:line="240" w:lineRule="auto"/>
              <w:ind w:firstLine="199" w:firstLineChars="95"/>
              <w:rPr>
                <w:rFonts w:ascii="宋体" w:hAnsi="宋体" w:cs="宋体"/>
              </w:rPr>
            </w:pPr>
            <w:r>
              <w:rPr>
                <w:rFonts w:hint="eastAsia" w:ascii="宋体" w:hAnsi="宋体" w:cs="宋体"/>
              </w:rPr>
              <w:t>1.1 采用主流三维技术开发，与实际环境高度保持一致，符合国家标准要求，支持360度观察。</w:t>
            </w:r>
          </w:p>
          <w:p>
            <w:pPr>
              <w:adjustRightInd w:val="0"/>
              <w:snapToGrid w:val="0"/>
              <w:spacing w:line="240" w:lineRule="auto"/>
              <w:ind w:firstLine="199" w:firstLineChars="95"/>
              <w:rPr>
                <w:rFonts w:ascii="宋体" w:hAnsi="宋体" w:cs="宋体"/>
              </w:rPr>
            </w:pPr>
            <w:r>
              <w:rPr>
                <w:rFonts w:hint="eastAsia" w:ascii="宋体" w:hAnsi="宋体" w:cs="宋体"/>
              </w:rPr>
              <w:t>1.2支持VR头戴式设备，可以自由行走、尽情探索、现实世界元素融入虚拟世界，全方位掌控多样化的体验，采用手柄操作，可以毫不费力的提供精确、高清的触觉反馈，支持360°观察，移动追踪，达到全仿真，沉浸式，全方位观察，全方位互动体验。</w:t>
            </w:r>
          </w:p>
          <w:p>
            <w:pPr>
              <w:adjustRightInd w:val="0"/>
              <w:snapToGrid w:val="0"/>
              <w:spacing w:line="240" w:lineRule="auto"/>
              <w:ind w:firstLine="199" w:firstLineChars="95"/>
              <w:rPr>
                <w:rFonts w:ascii="宋体" w:hAnsi="宋体" w:cs="宋体"/>
              </w:rPr>
            </w:pPr>
            <w:r>
              <w:rPr>
                <w:rFonts w:hint="eastAsia" w:ascii="宋体" w:hAnsi="宋体" w:cs="宋体"/>
              </w:rPr>
              <w:t>2</w:t>
            </w:r>
            <w:r>
              <w:rPr>
                <w:rFonts w:hint="eastAsia" w:ascii="宋体" w:hAnsi="宋体" w:cs="宋体"/>
                <w:lang w:val="en-US" w:eastAsia="zh-CN"/>
              </w:rPr>
              <w:t>.</w:t>
            </w:r>
            <w:r>
              <w:rPr>
                <w:rFonts w:hint="eastAsia" w:ascii="宋体" w:hAnsi="宋体" w:cs="宋体"/>
              </w:rPr>
              <w:t>走进化学实验室要求</w:t>
            </w:r>
          </w:p>
          <w:p>
            <w:pPr>
              <w:pStyle w:val="21"/>
              <w:adjustRightInd w:val="0"/>
              <w:snapToGrid w:val="0"/>
              <w:spacing w:line="240" w:lineRule="auto"/>
              <w:ind w:firstLine="199" w:firstLineChars="95"/>
              <w:rPr>
                <w:rFonts w:ascii="宋体" w:hAnsi="宋体" w:cs="宋体"/>
              </w:rPr>
            </w:pPr>
            <w:r>
              <w:rPr>
                <w:rFonts w:hint="eastAsia" w:ascii="宋体" w:hAnsi="宋体" w:cs="宋体"/>
              </w:rPr>
              <w:t>2.1 三维情景式设计、自主学习。采用3DMax+Unity3D三维技术开发，与实际环境一致，符合国家标准要求，支持 360 度观察。</w:t>
            </w:r>
          </w:p>
          <w:p>
            <w:pPr>
              <w:pStyle w:val="21"/>
              <w:adjustRightInd w:val="0"/>
              <w:snapToGrid w:val="0"/>
              <w:spacing w:line="240" w:lineRule="auto"/>
              <w:ind w:firstLine="199" w:firstLineChars="95"/>
              <w:rPr>
                <w:rFonts w:ascii="宋体" w:hAnsi="宋体" w:cs="宋体"/>
              </w:rPr>
            </w:pPr>
            <w:r>
              <w:rPr>
                <w:rFonts w:hint="eastAsia" w:ascii="宋体" w:hAnsi="宋体" w:cs="宋体"/>
              </w:rPr>
              <w:t>2.2 以真实、规范的高校化学实验室为模拟对象，包括：</w:t>
            </w:r>
          </w:p>
          <w:p>
            <w:pPr>
              <w:pStyle w:val="21"/>
              <w:adjustRightInd w:val="0"/>
              <w:snapToGrid w:val="0"/>
              <w:spacing w:line="240" w:lineRule="auto"/>
              <w:ind w:firstLine="199" w:firstLineChars="95"/>
              <w:rPr>
                <w:rFonts w:ascii="宋体" w:hAnsi="宋体" w:cs="宋体"/>
              </w:rPr>
            </w:pPr>
            <w:r>
              <w:rPr>
                <w:rFonts w:hint="eastAsia" w:ascii="宋体" w:hAnsi="宋体" w:cs="宋体"/>
              </w:rPr>
              <w:t>VR版实验室消防知识、VR版无机化学实验室，VR版有机化学实验室，VR版分析化学实验室，VR版物理化学实验室等的介绍。</w:t>
            </w:r>
          </w:p>
          <w:p>
            <w:pPr>
              <w:adjustRightInd w:val="0"/>
              <w:snapToGrid w:val="0"/>
              <w:spacing w:line="240" w:lineRule="auto"/>
              <w:ind w:firstLine="199" w:firstLineChars="95"/>
              <w:rPr>
                <w:rFonts w:ascii="宋体" w:hAnsi="宋体" w:cs="宋体"/>
              </w:rPr>
            </w:pPr>
            <w:r>
              <w:rPr>
                <w:rFonts w:hint="eastAsia" w:ascii="宋体" w:hAnsi="宋体" w:cs="宋体"/>
              </w:rPr>
              <w:t>2.3可以自主操作，通过点击相应物体，实现自主学习，含学习内容列表，学习进度提示等。支持 HTC VIVE VR 头戴式设备，可以自由行走、探索、将现实世界元素融入虚拟世界，全方位掌控多样化的体验，观察，移动追踪，达到全仿真，沉浸式，全方位观察，全方位互动体验。</w:t>
            </w:r>
          </w:p>
          <w:p>
            <w:pPr>
              <w:adjustRightInd w:val="0"/>
              <w:snapToGrid w:val="0"/>
              <w:spacing w:line="240" w:lineRule="auto"/>
              <w:ind w:firstLine="199" w:firstLineChars="95"/>
              <w:rPr>
                <w:rFonts w:ascii="宋体" w:hAnsi="宋体" w:cs="宋体"/>
              </w:rPr>
            </w:pPr>
            <w:r>
              <w:rPr>
                <w:rFonts w:hint="eastAsia" w:ascii="宋体" w:hAnsi="宋体" w:cs="宋体"/>
              </w:rPr>
              <w:t>2.4 VR版实验室消防知识</w:t>
            </w:r>
          </w:p>
          <w:p>
            <w:pPr>
              <w:adjustRightInd w:val="0"/>
              <w:snapToGrid w:val="0"/>
              <w:spacing w:line="240" w:lineRule="auto"/>
              <w:ind w:firstLine="199" w:firstLineChars="95"/>
              <w:rPr>
                <w:rFonts w:ascii="宋体" w:hAnsi="宋体" w:cs="宋体"/>
              </w:rPr>
            </w:pPr>
            <w:r>
              <w:rPr>
                <w:rFonts w:hint="eastAsia" w:ascii="宋体" w:hAnsi="宋体" w:cs="宋体"/>
              </w:rPr>
              <w:t>2.4.1 包含多种消防设施，如：灭火器箱、消防应急灯、消防栓、灭火器、灭火毯、消防沙箱、喷淋头、烟雾报警器、消防面罩、逃生指示牌、消防疏散示意图、实验室紧急喷淋与洗眼器、吸油纸、实验室通风柜、实验室守则等的学习，以图片，文字等形式讲解各种消防设施的类型，类别，要求，使用。</w:t>
            </w:r>
          </w:p>
          <w:p>
            <w:pPr>
              <w:pStyle w:val="21"/>
              <w:adjustRightInd w:val="0"/>
              <w:snapToGrid w:val="0"/>
              <w:spacing w:line="240" w:lineRule="auto"/>
              <w:ind w:firstLine="199" w:firstLineChars="95"/>
              <w:rPr>
                <w:rFonts w:ascii="宋体" w:hAnsi="宋体" w:cs="宋体"/>
              </w:rPr>
            </w:pPr>
            <w:r>
              <w:rPr>
                <w:rFonts w:hint="eastAsia" w:ascii="宋体" w:hAnsi="宋体" w:cs="宋体"/>
              </w:rPr>
              <w:t>2.4.2 可查看用时、完成进度/分数、闪烁提示等。</w:t>
            </w:r>
          </w:p>
          <w:p>
            <w:pPr>
              <w:pStyle w:val="21"/>
              <w:adjustRightInd w:val="0"/>
              <w:snapToGrid w:val="0"/>
              <w:spacing w:line="240" w:lineRule="auto"/>
              <w:ind w:firstLine="199" w:firstLineChars="95"/>
              <w:rPr>
                <w:rFonts w:ascii="宋体" w:hAnsi="宋体" w:cs="宋体"/>
              </w:rPr>
            </w:pPr>
            <w:r>
              <w:rPr>
                <w:rFonts w:hint="eastAsia" w:ascii="宋体" w:hAnsi="宋体" w:cs="宋体"/>
              </w:rPr>
              <w:t>2.4.3支持VR头戴式设备，可以自由行走、尽情探索、现实世界元素融入虚拟世界，全方位掌控多样化的体验。</w:t>
            </w:r>
          </w:p>
          <w:p>
            <w:pPr>
              <w:adjustRightInd w:val="0"/>
              <w:snapToGrid w:val="0"/>
              <w:spacing w:line="240" w:lineRule="auto"/>
              <w:ind w:firstLine="199" w:firstLineChars="95"/>
              <w:rPr>
                <w:rFonts w:ascii="宋体" w:hAnsi="宋体" w:cs="宋体"/>
              </w:rPr>
            </w:pPr>
            <w:r>
              <w:rPr>
                <w:rFonts w:hint="eastAsia" w:ascii="宋体" w:hAnsi="宋体" w:cs="宋体"/>
              </w:rPr>
              <w:t>2.5 VR版无机化学实验室</w:t>
            </w:r>
          </w:p>
          <w:p>
            <w:pPr>
              <w:adjustRightInd w:val="0"/>
              <w:snapToGrid w:val="0"/>
              <w:spacing w:line="240" w:lineRule="auto"/>
              <w:ind w:firstLine="199" w:firstLineChars="95"/>
              <w:rPr>
                <w:rFonts w:ascii="宋体" w:hAnsi="宋体" w:cs="宋体"/>
              </w:rPr>
            </w:pPr>
            <w:r>
              <w:rPr>
                <w:rFonts w:hint="eastAsia" w:ascii="宋体" w:hAnsi="宋体" w:cs="宋体"/>
              </w:rPr>
              <w:t>2.5.1 包含多种无机化学实验常用实验仪器，如滴瓶，牛角勺，元素周期表，离心机，煤气灯，试管、试管架，点滴板，坩埚与坩埚钳，蒸发皿，量杯与量筒，干燥器，石棉网和三脚架，水浴锅，马弗炉，烘箱，天平，废液回收处等的学习，以图片，文字等形式讲解各种消防设施的类型，类别，要求，使用。</w:t>
            </w:r>
          </w:p>
          <w:p>
            <w:pPr>
              <w:pStyle w:val="21"/>
              <w:adjustRightInd w:val="0"/>
              <w:snapToGrid w:val="0"/>
              <w:spacing w:line="240" w:lineRule="auto"/>
              <w:ind w:firstLine="199" w:firstLineChars="95"/>
              <w:rPr>
                <w:rFonts w:ascii="宋体" w:hAnsi="宋体" w:cs="宋体"/>
              </w:rPr>
            </w:pPr>
            <w:r>
              <w:rPr>
                <w:rFonts w:hint="eastAsia" w:ascii="宋体" w:hAnsi="宋体" w:cs="宋体"/>
              </w:rPr>
              <w:t>2.5.2  可查看用时、完成进度/得到的分数、闪烁提示等。</w:t>
            </w:r>
          </w:p>
          <w:p>
            <w:pPr>
              <w:adjustRightInd w:val="0"/>
              <w:snapToGrid w:val="0"/>
              <w:spacing w:line="240" w:lineRule="auto"/>
              <w:ind w:firstLine="199" w:firstLineChars="95"/>
              <w:rPr>
                <w:rFonts w:ascii="宋体" w:hAnsi="宋体" w:cs="宋体"/>
              </w:rPr>
            </w:pPr>
            <w:r>
              <w:rPr>
                <w:rFonts w:hint="eastAsia" w:ascii="宋体" w:hAnsi="宋体" w:cs="宋体"/>
              </w:rPr>
              <w:t>2.5.3  支持VR头戴式设备，可以自由行走、尽情探索、现实世界元素融入虚拟世界，全方位掌控多样化的体验。</w:t>
            </w:r>
          </w:p>
          <w:p>
            <w:pPr>
              <w:adjustRightInd w:val="0"/>
              <w:snapToGrid w:val="0"/>
              <w:spacing w:line="240" w:lineRule="auto"/>
              <w:ind w:firstLine="199" w:firstLineChars="95"/>
              <w:rPr>
                <w:rFonts w:ascii="宋体" w:hAnsi="宋体" w:cs="宋体"/>
              </w:rPr>
            </w:pPr>
            <w:r>
              <w:rPr>
                <w:rFonts w:hint="eastAsia" w:ascii="宋体" w:hAnsi="宋体" w:cs="宋体"/>
              </w:rPr>
              <w:t>2.6VR版有机化学实验室</w:t>
            </w:r>
          </w:p>
          <w:p>
            <w:pPr>
              <w:adjustRightInd w:val="0"/>
              <w:snapToGrid w:val="0"/>
              <w:spacing w:line="240" w:lineRule="auto"/>
              <w:ind w:firstLine="199" w:firstLineChars="95"/>
              <w:rPr>
                <w:rFonts w:ascii="宋体" w:hAnsi="宋体" w:cs="宋体"/>
              </w:rPr>
            </w:pPr>
            <w:r>
              <w:rPr>
                <w:rFonts w:hint="eastAsia" w:ascii="宋体" w:hAnsi="宋体" w:cs="宋体"/>
              </w:rPr>
              <w:t>2.6.1 包含多种有机化学实验常用实验仪器，如废液回收处，真空抽滤水泵，水浴锅，加热油浴锅，电动搅拌器，标准磨口有机合成仪器，布氏漏斗、吸滤瓶，回流装置，蒸馏装置，搅拌装置，气体吸收装置，分液漏斗，玻璃干燥器，旋转蒸发仪，电加热套，电加热套，铁架台及其相关部件，手套箱，红外干燥箱等的学习，以图片，文字等形式讲解各种消防设施的类型，类别，要求，使用。</w:t>
            </w:r>
          </w:p>
          <w:p>
            <w:pPr>
              <w:pStyle w:val="21"/>
              <w:adjustRightInd w:val="0"/>
              <w:snapToGrid w:val="0"/>
              <w:spacing w:line="240" w:lineRule="auto"/>
              <w:ind w:firstLine="199" w:firstLineChars="95"/>
              <w:rPr>
                <w:rFonts w:ascii="宋体" w:hAnsi="宋体" w:cs="宋体"/>
              </w:rPr>
            </w:pPr>
            <w:r>
              <w:rPr>
                <w:rFonts w:hint="eastAsia" w:ascii="宋体" w:hAnsi="宋体" w:cs="宋体"/>
              </w:rPr>
              <w:t>2.6.2  可查看用时、完成进度/得到的分数、闪烁提示等。</w:t>
            </w:r>
          </w:p>
          <w:p>
            <w:pPr>
              <w:adjustRightInd w:val="0"/>
              <w:snapToGrid w:val="0"/>
              <w:spacing w:line="240" w:lineRule="auto"/>
              <w:ind w:firstLine="199" w:firstLineChars="95"/>
              <w:rPr>
                <w:rFonts w:ascii="宋体" w:hAnsi="宋体" w:cs="宋体"/>
              </w:rPr>
            </w:pPr>
            <w:r>
              <w:rPr>
                <w:rFonts w:hint="eastAsia" w:ascii="宋体" w:hAnsi="宋体" w:cs="宋体"/>
              </w:rPr>
              <w:t>2.6.3  支持VR头戴式设备，可以自由行走、尽情探索、现实世界元素融入虚拟世界，全方位掌控多样化的体验。</w:t>
            </w:r>
          </w:p>
          <w:p>
            <w:pPr>
              <w:adjustRightInd w:val="0"/>
              <w:snapToGrid w:val="0"/>
              <w:spacing w:line="240" w:lineRule="auto"/>
              <w:ind w:firstLine="199" w:firstLineChars="95"/>
              <w:rPr>
                <w:rFonts w:ascii="宋体" w:hAnsi="宋体" w:cs="宋体"/>
              </w:rPr>
            </w:pPr>
            <w:r>
              <w:rPr>
                <w:rFonts w:hint="eastAsia" w:ascii="宋体" w:hAnsi="宋体" w:cs="宋体"/>
              </w:rPr>
              <w:t>2.7VR版分析化学实验室</w:t>
            </w:r>
          </w:p>
          <w:p>
            <w:pPr>
              <w:pStyle w:val="21"/>
              <w:adjustRightInd w:val="0"/>
              <w:snapToGrid w:val="0"/>
              <w:spacing w:line="240" w:lineRule="auto"/>
              <w:ind w:firstLine="199" w:firstLineChars="95"/>
              <w:rPr>
                <w:rFonts w:ascii="宋体" w:hAnsi="宋体" w:cs="宋体"/>
              </w:rPr>
            </w:pPr>
            <w:r>
              <w:rPr>
                <w:rFonts w:hint="eastAsia" w:ascii="宋体" w:hAnsi="宋体" w:cs="宋体"/>
              </w:rPr>
              <w:t>2.7.1 包含多种分析化学实验常用实验仪器，如分析化学实验室废液回收处，实验室通风柜，托盘天平，电子天平，各种刷子与洗涤，玻璃干燥器，称量瓶，滴定管，容量瓶，移液管、吸量管，吸耳球，锥形瓶、碘量瓶，细口瓶，洗瓶，标准溶液，甲基橙，酚酞指示溶液，紫外分光光度计，红外分光光度计，气相色谱仪，高效液相色谱仪，原子吸收光谱分析仪，电化学分析仪，电位分析装置。</w:t>
            </w:r>
          </w:p>
          <w:p>
            <w:pPr>
              <w:pStyle w:val="21"/>
              <w:adjustRightInd w:val="0"/>
              <w:snapToGrid w:val="0"/>
              <w:spacing w:line="240" w:lineRule="auto"/>
              <w:ind w:firstLine="199" w:firstLineChars="95"/>
              <w:rPr>
                <w:rFonts w:ascii="宋体" w:hAnsi="宋体" w:cs="宋体"/>
              </w:rPr>
            </w:pPr>
            <w:r>
              <w:rPr>
                <w:rFonts w:hint="eastAsia" w:ascii="宋体" w:hAnsi="宋体" w:cs="宋体"/>
              </w:rPr>
              <w:t xml:space="preserve"> 2.7.2  可查看用时、完成进度/得到的分数、闪烁提示等。</w:t>
            </w:r>
          </w:p>
          <w:p>
            <w:pPr>
              <w:adjustRightInd w:val="0"/>
              <w:snapToGrid w:val="0"/>
              <w:spacing w:line="240" w:lineRule="auto"/>
              <w:ind w:firstLine="199" w:firstLineChars="95"/>
              <w:rPr>
                <w:rFonts w:ascii="宋体" w:hAnsi="宋体" w:cs="宋体"/>
              </w:rPr>
            </w:pPr>
            <w:r>
              <w:rPr>
                <w:rFonts w:hint="eastAsia" w:ascii="宋体" w:hAnsi="宋体" w:cs="宋体"/>
              </w:rPr>
              <w:t xml:space="preserve"> 2.7.3  支持VR头戴式设备，可以自由行走、尽情探索、现实世界元素融入虚拟世界，全方位掌控多样化的体验。</w:t>
            </w:r>
          </w:p>
          <w:p>
            <w:pPr>
              <w:adjustRightInd w:val="0"/>
              <w:snapToGrid w:val="0"/>
              <w:spacing w:line="240" w:lineRule="auto"/>
              <w:ind w:firstLine="199" w:firstLineChars="95"/>
              <w:rPr>
                <w:rFonts w:ascii="宋体" w:hAnsi="宋体" w:cs="宋体"/>
              </w:rPr>
            </w:pPr>
            <w:r>
              <w:rPr>
                <w:rFonts w:hint="eastAsia" w:ascii="宋体" w:hAnsi="宋体" w:cs="宋体"/>
              </w:rPr>
              <w:t>2.8VR版物理化学实验室</w:t>
            </w:r>
          </w:p>
          <w:p>
            <w:pPr>
              <w:pStyle w:val="21"/>
              <w:adjustRightInd w:val="0"/>
              <w:snapToGrid w:val="0"/>
              <w:spacing w:line="240" w:lineRule="auto"/>
              <w:ind w:firstLine="0" w:firstLineChars="0"/>
              <w:rPr>
                <w:rFonts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2.8.1 包含多种物理化学实验常用实验仪器，如：金属相图实验装置，饱和蒸气压测定装置，氧弹式量热计，废液回收处等的学习，以图片，文字等形式讲解各种消防设施的类型，类别，要求，使用。</w:t>
            </w:r>
          </w:p>
          <w:p>
            <w:pPr>
              <w:pStyle w:val="21"/>
              <w:adjustRightInd w:val="0"/>
              <w:snapToGrid w:val="0"/>
              <w:spacing w:line="240" w:lineRule="auto"/>
              <w:ind w:firstLine="199" w:firstLineChars="95"/>
              <w:rPr>
                <w:rFonts w:ascii="宋体" w:hAnsi="宋体" w:cs="宋体"/>
              </w:rPr>
            </w:pPr>
            <w:r>
              <w:rPr>
                <w:rFonts w:hint="eastAsia" w:ascii="宋体" w:hAnsi="宋体" w:cs="宋体"/>
              </w:rPr>
              <w:t>2.8.2  可查看用时、完成进度/分数、闪烁提示等。</w:t>
            </w:r>
          </w:p>
          <w:p>
            <w:pPr>
              <w:adjustRightInd w:val="0"/>
              <w:snapToGrid w:val="0"/>
              <w:spacing w:line="240" w:lineRule="auto"/>
              <w:ind w:firstLine="199" w:firstLineChars="95"/>
              <w:rPr>
                <w:rFonts w:ascii="宋体" w:hAnsi="宋体" w:cs="宋体"/>
              </w:rPr>
            </w:pPr>
            <w:r>
              <w:rPr>
                <w:rFonts w:hint="eastAsia" w:ascii="宋体" w:hAnsi="宋体" w:cs="宋体"/>
              </w:rPr>
              <w:t>2.8.3  支持VR头戴式设备，可以自由行走、尽情探索、现实世界元素融入虚拟世界，全方位掌控多样化的体验。</w:t>
            </w:r>
          </w:p>
          <w:p>
            <w:pPr>
              <w:adjustRightInd w:val="0"/>
              <w:snapToGrid w:val="0"/>
              <w:spacing w:line="240" w:lineRule="auto"/>
              <w:ind w:firstLine="199" w:firstLineChars="95"/>
              <w:rPr>
                <w:rFonts w:ascii="宋体" w:hAnsi="宋体" w:cs="宋体"/>
              </w:rPr>
            </w:pPr>
            <w:r>
              <w:rPr>
                <w:rFonts w:hint="eastAsia" w:ascii="宋体" w:hAnsi="宋体" w:cs="宋体"/>
              </w:rPr>
              <w:t>3</w:t>
            </w:r>
            <w:r>
              <w:rPr>
                <w:rFonts w:hint="eastAsia" w:ascii="宋体" w:hAnsi="宋体" w:cs="宋体"/>
                <w:lang w:val="en-US" w:eastAsia="zh-CN"/>
              </w:rPr>
              <w:t>.</w:t>
            </w:r>
            <w:r>
              <w:rPr>
                <w:rFonts w:hint="eastAsia" w:ascii="宋体" w:hAnsi="宋体" w:cs="宋体"/>
              </w:rPr>
              <w:t>化学试剂的正确使用与突发事故的处理虚拟实训</w:t>
            </w:r>
          </w:p>
          <w:p>
            <w:pPr>
              <w:pStyle w:val="21"/>
              <w:adjustRightInd w:val="0"/>
              <w:snapToGrid w:val="0"/>
              <w:spacing w:line="240" w:lineRule="auto"/>
              <w:ind w:firstLine="199" w:firstLineChars="95"/>
              <w:rPr>
                <w:rFonts w:ascii="宋体" w:hAnsi="宋体" w:cs="宋体"/>
              </w:rPr>
            </w:pPr>
            <w:r>
              <w:rPr>
                <w:rFonts w:hint="eastAsia" w:ascii="宋体" w:hAnsi="宋体" w:cs="宋体"/>
              </w:rPr>
              <w:t>3.1 三维情景式设计，包括外部环境，实验室内部场景，采用3DMax+Unity3D三维技术开发，与实际环境一致，符合国家标准要求，支持 360 度观察。</w:t>
            </w:r>
          </w:p>
          <w:p>
            <w:pPr>
              <w:pStyle w:val="21"/>
              <w:adjustRightInd w:val="0"/>
              <w:snapToGrid w:val="0"/>
              <w:spacing w:line="240" w:lineRule="auto"/>
              <w:ind w:firstLine="199" w:firstLineChars="95"/>
              <w:rPr>
                <w:rFonts w:ascii="宋体" w:hAnsi="宋体" w:cs="宋体"/>
              </w:rPr>
            </w:pPr>
            <w:r>
              <w:rPr>
                <w:rFonts w:hint="eastAsia" w:ascii="宋体" w:hAnsi="宋体" w:cs="宋体"/>
              </w:rPr>
              <w:t>3.2 以真实过程为模拟对象，情节合理，形象逼真，内容丰富，科学规范</w:t>
            </w:r>
          </w:p>
          <w:p>
            <w:pPr>
              <w:adjustRightInd w:val="0"/>
              <w:snapToGrid w:val="0"/>
              <w:spacing w:line="240" w:lineRule="auto"/>
              <w:ind w:firstLine="199" w:firstLineChars="95"/>
              <w:rPr>
                <w:rFonts w:ascii="宋体" w:hAnsi="宋体" w:cs="宋体"/>
              </w:rPr>
            </w:pPr>
            <w:r>
              <w:rPr>
                <w:rFonts w:hint="eastAsia" w:ascii="宋体" w:hAnsi="宋体" w:cs="宋体"/>
              </w:rPr>
              <w:t>3.3多种模式，体现参数化设计，互动性强，可互动模拟各种实际过程</w:t>
            </w:r>
          </w:p>
          <w:p>
            <w:pPr>
              <w:adjustRightInd w:val="0"/>
              <w:snapToGrid w:val="0"/>
              <w:spacing w:line="240" w:lineRule="auto"/>
              <w:ind w:firstLine="199" w:firstLineChars="95"/>
              <w:rPr>
                <w:rFonts w:ascii="宋体" w:hAnsi="宋体" w:cs="宋体"/>
              </w:rPr>
            </w:pPr>
            <w:r>
              <w:rPr>
                <w:rFonts w:hint="eastAsia" w:ascii="宋体" w:hAnsi="宋体" w:cs="宋体"/>
              </w:rPr>
              <w:t>3.4可以自主操作，可实现自主学习，自主练习，自主考核。可查看考核结果。支持 HTC VIVE VR 头戴式设备，可以自由行走、探索、将现实世界元素融入虚拟世界，全方位掌控多样化的体验，观察，移动追踪，达到全仿真，沉浸式，全方位观察，全方位互动体验。</w:t>
            </w:r>
          </w:p>
          <w:p>
            <w:pPr>
              <w:adjustRightInd w:val="0"/>
              <w:snapToGrid w:val="0"/>
              <w:spacing w:line="240" w:lineRule="auto"/>
              <w:ind w:firstLine="199" w:firstLineChars="95"/>
              <w:rPr>
                <w:rFonts w:ascii="宋体" w:hAnsi="宋体" w:cs="宋体"/>
              </w:rPr>
            </w:pPr>
            <w:r>
              <w:rPr>
                <w:rFonts w:hint="eastAsia" w:ascii="宋体" w:hAnsi="宋体" w:cs="宋体"/>
              </w:rPr>
              <w:t>3.5 网络三维情景化化学试剂的使用虚拟实训，包括以下内容：</w:t>
            </w:r>
          </w:p>
          <w:p>
            <w:pPr>
              <w:adjustRightInd w:val="0"/>
              <w:snapToGrid w:val="0"/>
              <w:spacing w:line="240" w:lineRule="auto"/>
              <w:ind w:firstLine="199" w:firstLineChars="95"/>
              <w:rPr>
                <w:rFonts w:ascii="宋体" w:hAnsi="宋体" w:cs="宋体"/>
              </w:rPr>
            </w:pPr>
            <w:r>
              <w:rPr>
                <w:rFonts w:hint="eastAsia" w:ascii="宋体" w:hAnsi="宋体" w:cs="宋体"/>
              </w:rPr>
              <w:t>3.5.1VR版金属钠的取用与钠渣的处理；钠着火的处置</w:t>
            </w:r>
          </w:p>
          <w:p>
            <w:pPr>
              <w:adjustRightInd w:val="0"/>
              <w:snapToGrid w:val="0"/>
              <w:spacing w:line="240" w:lineRule="auto"/>
              <w:ind w:firstLine="199" w:firstLineChars="95"/>
              <w:rPr>
                <w:rFonts w:ascii="宋体" w:hAnsi="宋体" w:cs="宋体"/>
              </w:rPr>
            </w:pPr>
            <w:r>
              <w:rPr>
                <w:rFonts w:hint="eastAsia" w:ascii="宋体" w:hAnsi="宋体" w:cs="宋体"/>
              </w:rPr>
              <w:t>采用文字、图片和交互方式介绍金属钠性质学习，金属钠的取用，钠渣的处理，控制物体闪烁，导引操作，文字步骤提示，时间、分数显示等功能。</w:t>
            </w:r>
          </w:p>
          <w:p>
            <w:pPr>
              <w:tabs>
                <w:tab w:val="center" w:pos="4542"/>
              </w:tabs>
              <w:adjustRightInd w:val="0"/>
              <w:snapToGrid w:val="0"/>
              <w:spacing w:line="240" w:lineRule="auto"/>
              <w:ind w:firstLine="199" w:firstLineChars="95"/>
              <w:rPr>
                <w:rFonts w:ascii="宋体" w:hAnsi="宋体" w:cs="宋体"/>
              </w:rPr>
            </w:pPr>
            <w:r>
              <w:rPr>
                <w:rFonts w:hint="eastAsia" w:ascii="宋体" w:hAnsi="宋体" w:cs="宋体"/>
              </w:rPr>
              <w:t>3.5.2VR版浓硫酸的稀释与烧伤的处置</w:t>
            </w:r>
            <w:r>
              <w:rPr>
                <w:rFonts w:hint="eastAsia" w:ascii="宋体" w:hAnsi="宋体" w:cs="宋体"/>
              </w:rPr>
              <w:tab/>
            </w:r>
          </w:p>
          <w:p>
            <w:pPr>
              <w:adjustRightInd w:val="0"/>
              <w:snapToGrid w:val="0"/>
              <w:spacing w:line="240" w:lineRule="auto"/>
              <w:ind w:firstLine="199" w:firstLineChars="95"/>
              <w:rPr>
                <w:rFonts w:ascii="宋体" w:hAnsi="宋体" w:cs="宋体"/>
              </w:rPr>
            </w:pPr>
            <w:r>
              <w:rPr>
                <w:rFonts w:hint="eastAsia" w:ascii="宋体" w:hAnsi="宋体" w:cs="宋体"/>
              </w:rPr>
              <w:t>采用文字、图片和交互方式介绍浓硫酸性质学习，浓硫酸的稀释，灼伤的紧急处置，可通过控制物体闪烁达到导引操作目的，也可通过文字步骤进行提示，可随时查看进行的时间、得到的分数等。</w:t>
            </w:r>
          </w:p>
          <w:p>
            <w:pPr>
              <w:adjustRightInd w:val="0"/>
              <w:snapToGrid w:val="0"/>
              <w:spacing w:line="240" w:lineRule="auto"/>
              <w:ind w:firstLine="199" w:firstLineChars="95"/>
              <w:rPr>
                <w:rFonts w:ascii="宋体" w:hAnsi="宋体" w:cs="宋体"/>
              </w:rPr>
            </w:pPr>
            <w:r>
              <w:rPr>
                <w:rFonts w:hint="eastAsia" w:ascii="宋体" w:hAnsi="宋体" w:cs="宋体"/>
              </w:rPr>
              <w:t>3.5.3VR版甲醇的取用与灭火训练</w:t>
            </w:r>
          </w:p>
          <w:p>
            <w:pPr>
              <w:adjustRightInd w:val="0"/>
              <w:snapToGrid w:val="0"/>
              <w:spacing w:line="240" w:lineRule="auto"/>
              <w:ind w:firstLine="199" w:firstLineChars="95"/>
              <w:rPr>
                <w:rFonts w:ascii="宋体" w:hAnsi="宋体" w:cs="宋体"/>
              </w:rPr>
            </w:pPr>
            <w:r>
              <w:rPr>
                <w:rFonts w:hint="eastAsia" w:ascii="宋体" w:hAnsi="宋体" w:cs="宋体"/>
              </w:rPr>
              <w:t>采用文字、图片和交互方式介绍甲醇性质学习，甲醇的取用，灭火训练，控制物体闪烁，可通过控制物体闪烁达到导引操作目的，也可通过文字步骤进行提示，可随时查看进行的时间、得到的分数等。</w:t>
            </w:r>
          </w:p>
          <w:p>
            <w:pPr>
              <w:adjustRightInd w:val="0"/>
              <w:snapToGrid w:val="0"/>
              <w:spacing w:line="240" w:lineRule="auto"/>
              <w:ind w:firstLine="199" w:firstLineChars="95"/>
              <w:rPr>
                <w:rFonts w:ascii="宋体" w:hAnsi="宋体" w:cs="宋体"/>
              </w:rPr>
            </w:pPr>
            <w:r>
              <w:rPr>
                <w:rFonts w:hint="eastAsia" w:ascii="宋体" w:hAnsi="宋体" w:cs="宋体"/>
              </w:rPr>
              <w:t>3.5.4VR版苯酚的取用与灼伤的紧急处置</w:t>
            </w:r>
          </w:p>
          <w:p>
            <w:pPr>
              <w:adjustRightInd w:val="0"/>
              <w:snapToGrid w:val="0"/>
              <w:spacing w:line="240" w:lineRule="auto"/>
              <w:ind w:firstLine="199" w:firstLineChars="95"/>
              <w:rPr>
                <w:rFonts w:ascii="宋体" w:hAnsi="宋体" w:cs="宋体"/>
              </w:rPr>
            </w:pPr>
            <w:r>
              <w:rPr>
                <w:rFonts w:hint="eastAsia" w:ascii="宋体" w:hAnsi="宋体" w:cs="宋体"/>
              </w:rPr>
              <w:t>采用文字、图片和交互方式介绍苯酚性质学习，苯酚的取用，伤害的紧急处置，控制物体闪烁，可通过控制物体闪烁达到导引操作目的，也可通过文字步骤进行提示，可随时查看进行的时间、得到的分数等。</w:t>
            </w:r>
          </w:p>
          <w:p>
            <w:pPr>
              <w:adjustRightInd w:val="0"/>
              <w:snapToGrid w:val="0"/>
              <w:spacing w:line="240" w:lineRule="auto"/>
              <w:ind w:firstLine="199" w:firstLineChars="95"/>
              <w:rPr>
                <w:rFonts w:ascii="宋体" w:hAnsi="宋体" w:cs="宋体"/>
              </w:rPr>
            </w:pPr>
            <w:r>
              <w:rPr>
                <w:rFonts w:hint="eastAsia" w:ascii="宋体" w:hAnsi="宋体" w:cs="宋体"/>
              </w:rPr>
              <w:t>3.5.5 VR版DMSO的取用与低温防冻液的配制</w:t>
            </w:r>
          </w:p>
          <w:p>
            <w:pPr>
              <w:adjustRightInd w:val="0"/>
              <w:snapToGrid w:val="0"/>
              <w:spacing w:line="240" w:lineRule="auto"/>
              <w:ind w:firstLine="199" w:firstLineChars="95"/>
              <w:rPr>
                <w:rFonts w:ascii="宋体" w:hAnsi="宋体" w:cs="宋体"/>
              </w:rPr>
            </w:pPr>
            <w:r>
              <w:rPr>
                <w:rFonts w:hint="eastAsia" w:ascii="宋体" w:hAnsi="宋体" w:cs="宋体"/>
              </w:rPr>
              <w:t>采用文字、图片和交互方式介绍DMSO性质学习，DMSO的取用，低温防冻液的配制，控制物体闪烁，可通过控制物体闪烁达到导引操作目的，也可通过文字步骤进行提示，可随时查看进行的时间、得到的分数等。</w:t>
            </w:r>
          </w:p>
          <w:p>
            <w:pPr>
              <w:adjustRightInd w:val="0"/>
              <w:snapToGrid w:val="0"/>
              <w:spacing w:line="240" w:lineRule="auto"/>
              <w:ind w:firstLine="199" w:firstLineChars="95"/>
              <w:rPr>
                <w:rFonts w:ascii="宋体" w:hAnsi="宋体" w:cs="宋体"/>
              </w:rPr>
            </w:pPr>
            <w:r>
              <w:rPr>
                <w:rFonts w:hint="eastAsia" w:ascii="宋体" w:hAnsi="宋体" w:cs="宋体"/>
              </w:rPr>
              <w:t>3.5.6VR版溴化乙锭溶液配制与废液处置</w:t>
            </w:r>
          </w:p>
          <w:p>
            <w:pPr>
              <w:adjustRightInd w:val="0"/>
              <w:snapToGrid w:val="0"/>
              <w:spacing w:line="240" w:lineRule="auto"/>
              <w:ind w:firstLine="199" w:firstLineChars="95"/>
              <w:rPr>
                <w:rFonts w:ascii="宋体" w:hAnsi="宋体" w:cs="宋体"/>
              </w:rPr>
            </w:pPr>
            <w:r>
              <w:rPr>
                <w:rFonts w:hint="eastAsia" w:ascii="宋体" w:hAnsi="宋体" w:cs="宋体"/>
              </w:rPr>
              <w:t>采用文字、图片和交互方式介绍溴化乙锭性质学习，溶液配制，废液处置，控制物体闪烁，可通过控制物体闪烁达到导引操作目的，也可通过文字步骤进行提示，可随时查看进行的时间、得到的分数等。</w:t>
            </w:r>
          </w:p>
          <w:p>
            <w:pPr>
              <w:adjustRightInd w:val="0"/>
              <w:snapToGrid w:val="0"/>
              <w:spacing w:line="240" w:lineRule="auto"/>
              <w:ind w:firstLine="199" w:firstLineChars="95"/>
              <w:rPr>
                <w:rFonts w:ascii="宋体" w:hAnsi="宋体" w:cs="宋体"/>
              </w:rPr>
            </w:pPr>
            <w:r>
              <w:rPr>
                <w:rFonts w:hint="eastAsia" w:ascii="宋体" w:hAnsi="宋体" w:cs="宋体"/>
              </w:rPr>
              <w:t>3.5.7VR版氢气瓶的安全使用</w:t>
            </w:r>
          </w:p>
          <w:p>
            <w:pPr>
              <w:adjustRightInd w:val="0"/>
              <w:snapToGrid w:val="0"/>
              <w:spacing w:line="240" w:lineRule="auto"/>
              <w:ind w:firstLine="199" w:firstLineChars="95"/>
              <w:rPr>
                <w:rFonts w:ascii="宋体" w:hAnsi="宋体" w:cs="宋体"/>
              </w:rPr>
            </w:pPr>
            <w:r>
              <w:rPr>
                <w:rFonts w:hint="eastAsia" w:ascii="宋体" w:hAnsi="宋体" w:cs="宋体"/>
              </w:rPr>
              <w:t>采用文字、图片和交互方式介绍氢气瓶的性质及注意事项，操作指导，操作考核，可通过控制物体闪烁达到导引操作目的，也可通过文字步骤进行提示，可随时查看进行的时间、得到的分数等。</w:t>
            </w:r>
          </w:p>
          <w:p>
            <w:pPr>
              <w:adjustRightInd w:val="0"/>
              <w:snapToGrid w:val="0"/>
              <w:spacing w:line="240" w:lineRule="auto"/>
              <w:ind w:firstLine="199" w:firstLineChars="95"/>
              <w:rPr>
                <w:rFonts w:ascii="宋体" w:hAnsi="宋体" w:cs="宋体"/>
              </w:rPr>
            </w:pPr>
            <w:r>
              <w:rPr>
                <w:rFonts w:hint="eastAsia" w:ascii="宋体" w:hAnsi="宋体" w:cs="宋体"/>
              </w:rPr>
              <w:t>4</w:t>
            </w:r>
            <w:r>
              <w:rPr>
                <w:rFonts w:hint="eastAsia" w:ascii="宋体" w:hAnsi="宋体" w:cs="宋体"/>
                <w:lang w:val="en-US" w:eastAsia="zh-CN"/>
              </w:rPr>
              <w:t>.</w:t>
            </w:r>
            <w:r>
              <w:rPr>
                <w:rFonts w:hint="eastAsia" w:ascii="宋体" w:hAnsi="宋体" w:cs="宋体"/>
              </w:rPr>
              <w:t>三维互动消防虚拟实训</w:t>
            </w:r>
          </w:p>
          <w:p>
            <w:pPr>
              <w:pStyle w:val="21"/>
              <w:adjustRightInd w:val="0"/>
              <w:snapToGrid w:val="0"/>
              <w:spacing w:line="240" w:lineRule="auto"/>
              <w:ind w:firstLine="199" w:firstLineChars="95"/>
              <w:rPr>
                <w:rFonts w:ascii="宋体" w:hAnsi="宋体" w:cs="宋体"/>
              </w:rPr>
            </w:pPr>
            <w:r>
              <w:rPr>
                <w:rFonts w:hint="eastAsia" w:ascii="宋体" w:hAnsi="宋体" w:cs="宋体"/>
              </w:rPr>
              <w:t>4.1 三维情景式设计开发，包括外部环境，实验室内部场景，采用3DMax+Unity3D三维技术开发，与实际环境一致，符合国家标准要求，支持 360 度观察。</w:t>
            </w:r>
          </w:p>
          <w:p>
            <w:pPr>
              <w:pStyle w:val="21"/>
              <w:adjustRightInd w:val="0"/>
              <w:snapToGrid w:val="0"/>
              <w:spacing w:line="240" w:lineRule="auto"/>
              <w:ind w:firstLine="199" w:firstLineChars="95"/>
              <w:rPr>
                <w:rFonts w:ascii="宋体" w:hAnsi="宋体" w:cs="宋体"/>
              </w:rPr>
            </w:pPr>
            <w:r>
              <w:rPr>
                <w:rFonts w:hint="eastAsia" w:ascii="宋体" w:hAnsi="宋体" w:cs="宋体"/>
              </w:rPr>
              <w:t>4.2 以真实过程为模拟对象，合理，逼真，内容丰富，科学规范。</w:t>
            </w:r>
          </w:p>
          <w:p>
            <w:pPr>
              <w:adjustRightInd w:val="0"/>
              <w:snapToGrid w:val="0"/>
              <w:spacing w:line="240" w:lineRule="auto"/>
              <w:ind w:firstLine="199" w:firstLineChars="95"/>
              <w:rPr>
                <w:rFonts w:ascii="宋体" w:hAnsi="宋体" w:cs="宋体"/>
              </w:rPr>
            </w:pPr>
            <w:r>
              <w:rPr>
                <w:rFonts w:hint="eastAsia" w:ascii="宋体" w:hAnsi="宋体" w:cs="宋体"/>
              </w:rPr>
              <w:t>4.3多种模式，体现参数化设计，互动性强，可互动模拟消防实训过程。</w:t>
            </w:r>
          </w:p>
          <w:p>
            <w:pPr>
              <w:adjustRightInd w:val="0"/>
              <w:snapToGrid w:val="0"/>
              <w:spacing w:line="240" w:lineRule="auto"/>
              <w:ind w:firstLine="199" w:firstLineChars="95"/>
              <w:rPr>
                <w:rFonts w:ascii="宋体" w:hAnsi="宋体" w:cs="宋体"/>
              </w:rPr>
            </w:pPr>
            <w:r>
              <w:rPr>
                <w:rFonts w:hint="eastAsia" w:ascii="宋体" w:hAnsi="宋体" w:cs="宋体"/>
              </w:rPr>
              <w:t>4.4可以自主操作，可实现自主学习，自主练习，自主考核。可查看考核结果。支持 HTC VIVE VR 头戴式设备，可以自由行走、探索、将现实世界元素融入虚拟世界，全方位掌控多样化的体验，观察，移动追踪，达到全仿真，沉浸式，全方位观察，全方位互动体验。</w:t>
            </w:r>
          </w:p>
          <w:p>
            <w:pPr>
              <w:adjustRightInd w:val="0"/>
              <w:snapToGrid w:val="0"/>
              <w:spacing w:line="240" w:lineRule="auto"/>
              <w:ind w:firstLine="199" w:firstLineChars="95"/>
              <w:rPr>
                <w:rFonts w:ascii="宋体" w:hAnsi="宋体" w:cs="宋体"/>
              </w:rPr>
            </w:pPr>
            <w:r>
              <w:rPr>
                <w:rFonts w:hint="eastAsia" w:ascii="宋体" w:hAnsi="宋体" w:cs="宋体"/>
              </w:rPr>
              <w:t>4.5 网络化三维情景化消防灭火训练与实训</w:t>
            </w:r>
          </w:p>
          <w:p>
            <w:pPr>
              <w:adjustRightInd w:val="0"/>
              <w:snapToGrid w:val="0"/>
              <w:spacing w:line="240" w:lineRule="auto"/>
              <w:ind w:firstLine="210" w:firstLineChars="100"/>
              <w:rPr>
                <w:rFonts w:ascii="宋体" w:hAnsi="宋体" w:cs="宋体"/>
              </w:rPr>
            </w:pPr>
            <w:r>
              <w:rPr>
                <w:rFonts w:hint="eastAsia" w:ascii="宋体" w:hAnsi="宋体" w:cs="宋体"/>
              </w:rPr>
              <w:t>4.5.1 VR版灭火器训练与实训</w:t>
            </w:r>
          </w:p>
          <w:p>
            <w:pPr>
              <w:adjustRightInd w:val="0"/>
              <w:snapToGrid w:val="0"/>
              <w:spacing w:line="240" w:lineRule="auto"/>
              <w:ind w:firstLine="199" w:firstLineChars="95"/>
              <w:rPr>
                <w:rFonts w:ascii="宋体" w:hAnsi="宋体" w:cs="宋体"/>
              </w:rPr>
            </w:pPr>
            <w:r>
              <w:rPr>
                <w:rFonts w:hint="eastAsia" w:ascii="宋体" w:hAnsi="宋体" w:cs="宋体"/>
              </w:rPr>
              <w:t>4.5.1.1具备：学习，训练、实操等模块；</w:t>
            </w:r>
          </w:p>
          <w:p>
            <w:pPr>
              <w:adjustRightInd w:val="0"/>
              <w:snapToGrid w:val="0"/>
              <w:spacing w:line="240" w:lineRule="auto"/>
              <w:ind w:firstLine="199" w:firstLineChars="95"/>
              <w:rPr>
                <w:rFonts w:ascii="宋体" w:hAnsi="宋体" w:cs="宋体"/>
              </w:rPr>
            </w:pPr>
            <w:r>
              <w:rPr>
                <w:rFonts w:hint="eastAsia" w:ascii="宋体" w:hAnsi="宋体" w:cs="宋体"/>
              </w:rPr>
              <w:t>4.5.1.2演习场景贴近实际，包含树木、花草、道路、楼房、人员、广场、灭火器、消防车、着火点等，支持360度观察。</w:t>
            </w:r>
          </w:p>
          <w:p>
            <w:pPr>
              <w:adjustRightInd w:val="0"/>
              <w:snapToGrid w:val="0"/>
              <w:spacing w:line="240" w:lineRule="auto"/>
              <w:ind w:firstLine="199" w:firstLineChars="95"/>
              <w:rPr>
                <w:rFonts w:ascii="宋体" w:hAnsi="宋体" w:cs="宋体"/>
              </w:rPr>
            </w:pPr>
            <w:r>
              <w:rPr>
                <w:rFonts w:hint="eastAsia" w:ascii="宋体" w:hAnsi="宋体" w:cs="宋体"/>
              </w:rPr>
              <w:t>4.5.1.3采用文字、图片、动画、交互操作的形式介绍灭火器的组成，结构、用途及使用方法，可任意角度观察，拖动，局部放大重点部件名称及介绍。</w:t>
            </w:r>
          </w:p>
          <w:p>
            <w:pPr>
              <w:adjustRightInd w:val="0"/>
              <w:snapToGrid w:val="0"/>
              <w:spacing w:line="240" w:lineRule="auto"/>
              <w:ind w:firstLine="199" w:firstLineChars="95"/>
              <w:rPr>
                <w:rFonts w:ascii="宋体" w:hAnsi="宋体" w:cs="宋体"/>
              </w:rPr>
            </w:pPr>
            <w:r>
              <w:rPr>
                <w:rFonts w:hint="eastAsia" w:ascii="宋体" w:hAnsi="宋体" w:cs="宋体"/>
              </w:rPr>
              <w:t>4.5.1.4完整模拟灭火器的使用及灭火全过程，三种不同类型实验室实际场景火灾的灭火过程。</w:t>
            </w:r>
          </w:p>
          <w:p>
            <w:pPr>
              <w:adjustRightInd w:val="0"/>
              <w:snapToGrid w:val="0"/>
              <w:spacing w:line="240" w:lineRule="auto"/>
              <w:ind w:firstLine="199" w:firstLineChars="95"/>
              <w:rPr>
                <w:rFonts w:ascii="宋体" w:hAnsi="宋体" w:cs="宋体"/>
              </w:rPr>
            </w:pPr>
            <w:r>
              <w:rPr>
                <w:rFonts w:hint="eastAsia" w:ascii="宋体" w:hAnsi="宋体" w:cs="宋体"/>
              </w:rPr>
              <w:t>4.5.1.5灭火过程体现：风向、角度、距离、时间等参数；</w:t>
            </w:r>
          </w:p>
          <w:p>
            <w:pPr>
              <w:adjustRightInd w:val="0"/>
              <w:snapToGrid w:val="0"/>
              <w:spacing w:line="240" w:lineRule="auto"/>
              <w:rPr>
                <w:rFonts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4.5.1.6采用情节驱动的方式、明确的考核标准，着重细节体现、可多角度观察；</w:t>
            </w:r>
          </w:p>
          <w:p>
            <w:pPr>
              <w:adjustRightInd w:val="0"/>
              <w:snapToGrid w:val="0"/>
              <w:spacing w:line="240" w:lineRule="auto"/>
              <w:ind w:firstLine="199" w:firstLineChars="95"/>
              <w:rPr>
                <w:rFonts w:ascii="宋体" w:hAnsi="宋体" w:cs="宋体"/>
              </w:rPr>
            </w:pPr>
            <w:r>
              <w:rPr>
                <w:rFonts w:hint="eastAsia" w:ascii="宋体" w:hAnsi="宋体" w:cs="宋体"/>
              </w:rPr>
              <w:t>4.5.1.7考核与结果记录包括：风向、角度、距离、时间等内容；</w:t>
            </w:r>
          </w:p>
          <w:p>
            <w:pPr>
              <w:adjustRightInd w:val="0"/>
              <w:snapToGrid w:val="0"/>
              <w:spacing w:line="240" w:lineRule="auto"/>
              <w:ind w:firstLine="199" w:firstLineChars="95"/>
              <w:rPr>
                <w:rFonts w:ascii="宋体" w:hAnsi="宋体" w:cs="宋体"/>
              </w:rPr>
            </w:pPr>
            <w:r>
              <w:rPr>
                <w:rFonts w:hint="eastAsia" w:ascii="宋体" w:hAnsi="宋体" w:cs="宋体"/>
              </w:rPr>
              <w:t>4.5.2 VR版灭火毯训练与实训</w:t>
            </w:r>
          </w:p>
          <w:p>
            <w:pPr>
              <w:adjustRightInd w:val="0"/>
              <w:snapToGrid w:val="0"/>
              <w:spacing w:line="240" w:lineRule="auto"/>
              <w:ind w:firstLine="199" w:firstLineChars="95"/>
              <w:rPr>
                <w:rFonts w:ascii="宋体" w:hAnsi="宋体" w:cs="宋体"/>
              </w:rPr>
            </w:pPr>
            <w:r>
              <w:rPr>
                <w:rFonts w:hint="eastAsia" w:ascii="宋体" w:hAnsi="宋体" w:cs="宋体"/>
              </w:rPr>
              <w:t>4.5.2.1具备：学习，训练、实操等模块；</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4.5.2.2演习场景贴近实际，包含树木、花草、道路、楼房、人员、广场、灭火器、消防车、着火点等，支持360度观察</w:t>
            </w:r>
            <w:r>
              <w:rPr>
                <w:rFonts w:hint="eastAsia" w:ascii="宋体" w:hAnsi="宋体" w:cs="宋体"/>
                <w:lang w:eastAsia="zh-CN"/>
              </w:rPr>
              <w:t>；</w:t>
            </w:r>
          </w:p>
          <w:p>
            <w:pPr>
              <w:spacing w:line="240" w:lineRule="auto"/>
              <w:ind w:firstLine="199" w:firstLineChars="95"/>
              <w:rPr>
                <w:rFonts w:hint="eastAsia" w:ascii="宋体" w:hAnsi="宋体" w:eastAsia="宋体" w:cs="宋体"/>
                <w:lang w:eastAsia="zh-CN"/>
              </w:rPr>
            </w:pPr>
            <w:r>
              <w:rPr>
                <w:rFonts w:hint="eastAsia" w:ascii="宋体" w:hAnsi="宋体" w:cs="宋体"/>
              </w:rPr>
              <w:t>4.5.2.3使用操作模拟要求：可以自由行走、探索、操作灭火毯、扑灭着火点，全方位掌控多样化的体验，多角度观察，移动追踪，达到全仿真，沉浸式，全方位观察，全方位互动体验</w:t>
            </w:r>
            <w:r>
              <w:rPr>
                <w:rFonts w:hint="eastAsia" w:ascii="宋体" w:hAnsi="宋体" w:cs="宋体"/>
                <w:lang w:eastAsia="zh-CN"/>
              </w:rPr>
              <w:t>；</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4.5.2.4完整模拟灭火毯灭火全过程，包含油桶着火，人体着火，易燃药品着火三种不同实验室实际场景类型火灾的灭火过程</w:t>
            </w:r>
            <w:r>
              <w:rPr>
                <w:rFonts w:hint="eastAsia" w:ascii="宋体" w:hAnsi="宋体" w:cs="宋体"/>
                <w:lang w:eastAsia="zh-CN"/>
              </w:rPr>
              <w:t>；</w:t>
            </w:r>
          </w:p>
          <w:p>
            <w:pPr>
              <w:adjustRightInd w:val="0"/>
              <w:snapToGrid w:val="0"/>
              <w:spacing w:line="240" w:lineRule="auto"/>
              <w:rPr>
                <w:rFonts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4.5.2.5灭火过程必须考虑：风向、角度、距离、时间等参数；</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4.5.2.6考核与结果记录包括：风向、角度、距离、时间等内容</w:t>
            </w:r>
            <w:r>
              <w:rPr>
                <w:rFonts w:hint="eastAsia" w:ascii="宋体" w:hAnsi="宋体" w:cs="宋体"/>
                <w:lang w:eastAsia="zh-CN"/>
              </w:rPr>
              <w:t>。</w:t>
            </w:r>
          </w:p>
          <w:p>
            <w:pPr>
              <w:adjustRightInd w:val="0"/>
              <w:snapToGrid w:val="0"/>
              <w:spacing w:line="240" w:lineRule="auto"/>
              <w:ind w:firstLine="199" w:firstLineChars="95"/>
              <w:rPr>
                <w:rFonts w:ascii="宋体" w:hAnsi="宋体" w:cs="宋体"/>
              </w:rPr>
            </w:pPr>
            <w:r>
              <w:rPr>
                <w:rFonts w:hint="eastAsia" w:ascii="宋体" w:hAnsi="宋体" w:cs="宋体"/>
              </w:rPr>
              <w:t>4.5.3 VR版消防沙箱训练与实训</w:t>
            </w:r>
          </w:p>
          <w:p>
            <w:pPr>
              <w:adjustRightInd w:val="0"/>
              <w:snapToGrid w:val="0"/>
              <w:spacing w:line="240" w:lineRule="auto"/>
              <w:ind w:firstLine="199" w:firstLineChars="95"/>
              <w:rPr>
                <w:rFonts w:ascii="宋体" w:hAnsi="宋体" w:cs="宋体"/>
              </w:rPr>
            </w:pPr>
            <w:r>
              <w:rPr>
                <w:rFonts w:hint="eastAsia" w:ascii="宋体" w:hAnsi="宋体" w:cs="宋体"/>
              </w:rPr>
              <w:t>4.5.3.1具备：学习，训练、实操等模块；</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4.5.3.2演习场景贴近实际，包含树木、花草、道路、楼房、人员、广场、灭火器、消防车、着火点等，支持360度观察</w:t>
            </w:r>
            <w:r>
              <w:rPr>
                <w:rFonts w:hint="eastAsia" w:ascii="宋体" w:hAnsi="宋体" w:cs="宋体"/>
                <w:lang w:eastAsia="zh-CN"/>
              </w:rPr>
              <w:t>；</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4.5.3.3使用操作模拟要求：可以自由行走，可操作消防沙箱，可扑灭着火点</w:t>
            </w:r>
            <w:r>
              <w:rPr>
                <w:rFonts w:hint="eastAsia" w:ascii="宋体" w:hAnsi="宋体" w:cs="宋体"/>
                <w:lang w:eastAsia="zh-CN"/>
              </w:rPr>
              <w:t>；</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4.5.3.4全方位掌控多样化的体验，多角度观察，移动追踪，达到全仿真，沉浸式，全方位观察，全方位互动体验</w:t>
            </w:r>
            <w:r>
              <w:rPr>
                <w:rFonts w:hint="eastAsia" w:ascii="宋体" w:hAnsi="宋体" w:cs="宋体"/>
                <w:lang w:eastAsia="zh-CN"/>
              </w:rPr>
              <w:t>；</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4.5.3.</w:t>
            </w:r>
            <w:r>
              <w:rPr>
                <w:rFonts w:hint="eastAsia" w:ascii="宋体" w:hAnsi="宋体" w:cs="宋体"/>
                <w:lang w:val="en-US" w:eastAsia="zh-CN"/>
              </w:rPr>
              <w:t>5</w:t>
            </w:r>
            <w:r>
              <w:rPr>
                <w:rFonts w:hint="eastAsia" w:ascii="宋体" w:hAnsi="宋体" w:cs="宋体"/>
              </w:rPr>
              <w:t>完整模拟消防沙箱灭火全过程，包含趟油着火，金属钠着火，和黄磷着火三种不同类型实验室实际场景火灾的灭火过程</w:t>
            </w:r>
            <w:r>
              <w:rPr>
                <w:rFonts w:hint="eastAsia" w:ascii="宋体" w:hAnsi="宋体" w:cs="宋体"/>
                <w:lang w:eastAsia="zh-CN"/>
              </w:rPr>
              <w:t>；</w:t>
            </w:r>
          </w:p>
          <w:p>
            <w:pPr>
              <w:adjustRightInd w:val="0"/>
              <w:snapToGrid w:val="0"/>
              <w:spacing w:line="240" w:lineRule="auto"/>
              <w:ind w:firstLine="199" w:firstLineChars="95"/>
              <w:rPr>
                <w:rFonts w:ascii="宋体" w:hAnsi="宋体" w:cs="宋体"/>
              </w:rPr>
            </w:pPr>
            <w:r>
              <w:rPr>
                <w:rFonts w:hint="eastAsia" w:ascii="宋体" w:hAnsi="宋体" w:cs="宋体"/>
              </w:rPr>
              <w:t>4.5.3.</w:t>
            </w:r>
            <w:r>
              <w:rPr>
                <w:rFonts w:hint="eastAsia" w:ascii="宋体" w:hAnsi="宋体" w:cs="宋体"/>
                <w:lang w:val="en-US" w:eastAsia="zh-CN"/>
              </w:rPr>
              <w:t>6</w:t>
            </w:r>
            <w:r>
              <w:rPr>
                <w:rFonts w:hint="eastAsia" w:ascii="宋体" w:hAnsi="宋体" w:cs="宋体"/>
              </w:rPr>
              <w:t>灭火过程必须考虑：风向、角度、距离、时间、沙子用量等参数；</w:t>
            </w:r>
          </w:p>
          <w:p>
            <w:pPr>
              <w:adjustRightInd w:val="0"/>
              <w:snapToGrid w:val="0"/>
              <w:spacing w:line="240" w:lineRule="auto"/>
              <w:ind w:firstLine="210" w:firstLineChars="100"/>
              <w:rPr>
                <w:rFonts w:hint="eastAsia" w:ascii="宋体" w:hAnsi="宋体" w:eastAsia="宋体" w:cs="宋体"/>
                <w:lang w:eastAsia="zh-CN"/>
              </w:rPr>
            </w:pPr>
            <w:r>
              <w:rPr>
                <w:rFonts w:hint="eastAsia" w:ascii="宋体" w:hAnsi="宋体" w:cs="宋体"/>
              </w:rPr>
              <w:t>4.5.3.</w:t>
            </w:r>
            <w:r>
              <w:rPr>
                <w:rFonts w:hint="eastAsia" w:ascii="宋体" w:hAnsi="宋体" w:cs="宋体"/>
                <w:lang w:val="en-US" w:eastAsia="zh-CN"/>
              </w:rPr>
              <w:t>7</w:t>
            </w:r>
            <w:r>
              <w:rPr>
                <w:rFonts w:hint="eastAsia" w:ascii="宋体" w:hAnsi="宋体" w:cs="宋体"/>
              </w:rPr>
              <w:t>考核与结果记录包括：风向、角度、距离、时间、沙子用量等内容</w:t>
            </w:r>
            <w:r>
              <w:rPr>
                <w:rFonts w:hint="eastAsia" w:ascii="宋体" w:hAnsi="宋体" w:cs="宋体"/>
                <w:lang w:eastAsia="zh-CN"/>
              </w:rPr>
              <w:t>。</w:t>
            </w:r>
          </w:p>
          <w:p>
            <w:pPr>
              <w:adjustRightInd w:val="0"/>
              <w:snapToGrid w:val="0"/>
              <w:spacing w:line="240" w:lineRule="auto"/>
              <w:ind w:firstLine="199" w:firstLineChars="95"/>
              <w:rPr>
                <w:rFonts w:ascii="宋体" w:hAnsi="宋体" w:cs="宋体"/>
              </w:rPr>
            </w:pPr>
            <w:r>
              <w:rPr>
                <w:rFonts w:hint="eastAsia" w:ascii="宋体" w:hAnsi="宋体" w:cs="宋体"/>
              </w:rPr>
              <w:t>4.6 VR版网络化三维情景化逃生训练与实训</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4.6.1 真实场景，三维仿真，自主操作，考核评价。采用3DMax+Unity3D三维技术开发，与实际环境一致，符合国家标准要求，支持 360 度观察</w:t>
            </w:r>
            <w:r>
              <w:rPr>
                <w:rFonts w:hint="eastAsia" w:ascii="宋体" w:hAnsi="宋体" w:cs="宋体"/>
                <w:lang w:eastAsia="zh-CN"/>
              </w:rPr>
              <w:t>。</w:t>
            </w:r>
          </w:p>
          <w:p>
            <w:pPr>
              <w:adjustRightInd w:val="0"/>
              <w:snapToGrid w:val="0"/>
              <w:spacing w:line="240" w:lineRule="auto"/>
              <w:ind w:firstLine="199" w:firstLineChars="95"/>
              <w:rPr>
                <w:rFonts w:hint="eastAsia" w:ascii="宋体" w:hAnsi="宋体" w:eastAsia="宋体" w:cs="宋体"/>
                <w:lang w:eastAsia="zh-CN"/>
              </w:rPr>
            </w:pPr>
            <w:r>
              <w:rPr>
                <w:rFonts w:hint="eastAsia" w:ascii="宋体" w:hAnsi="宋体" w:cs="宋体"/>
              </w:rPr>
              <w:t>4.6.2支持 HTC VIVE VR 头戴式设备，可以自由行走、探索、将现实世界元素融入虚拟世界，全方位掌控多样化的体验，观察，移动追踪，达到全仿真，沉浸式，全方位观察，全方位互动体验</w:t>
            </w:r>
            <w:r>
              <w:rPr>
                <w:rFonts w:hint="eastAsia" w:ascii="宋体" w:hAnsi="宋体" w:cs="宋体"/>
                <w:lang w:eastAsia="zh-CN"/>
              </w:rPr>
              <w:t>。</w:t>
            </w:r>
          </w:p>
          <w:p>
            <w:pPr>
              <w:adjustRightInd w:val="0"/>
              <w:snapToGrid w:val="0"/>
              <w:spacing w:line="240" w:lineRule="auto"/>
              <w:ind w:firstLine="199" w:firstLineChars="95"/>
              <w:rPr>
                <w:rFonts w:ascii="宋体" w:hAnsi="宋体" w:cs="宋体"/>
              </w:rPr>
            </w:pPr>
            <w:r>
              <w:rPr>
                <w:rFonts w:hint="eastAsia" w:ascii="宋体" w:hAnsi="宋体" w:cs="宋体"/>
              </w:rPr>
              <w:t>4.6.3 一般逃生训练</w:t>
            </w:r>
          </w:p>
          <w:p>
            <w:pPr>
              <w:adjustRightInd w:val="0"/>
              <w:snapToGrid w:val="0"/>
              <w:spacing w:line="240" w:lineRule="auto"/>
              <w:ind w:firstLine="199" w:firstLineChars="95"/>
              <w:rPr>
                <w:rFonts w:ascii="宋体" w:hAnsi="宋体" w:cs="宋体"/>
              </w:rPr>
            </w:pPr>
            <w:r>
              <w:rPr>
                <w:rFonts w:hint="eastAsia" w:ascii="宋体" w:hAnsi="宋体" w:cs="宋体"/>
              </w:rPr>
              <w:t>模拟设置火灾不同情节，逃生人员可使用各种装备，如防毒面具，湿衣服，模仿火灾过程出现的各种不同场景，如：浓烟，轻烟，有毒烟雾，明火等，操作者可在操作过程中可自主变换不同逃生姿态，如：走，跑，蹲，爬等，设置多条逃生路线，操作者可自主选择逃生路线。</w:t>
            </w:r>
          </w:p>
          <w:p>
            <w:pPr>
              <w:adjustRightInd w:val="0"/>
              <w:snapToGrid w:val="0"/>
              <w:spacing w:line="240" w:lineRule="auto"/>
              <w:ind w:firstLine="210" w:firstLineChars="100"/>
              <w:rPr>
                <w:rFonts w:ascii="宋体" w:hAnsi="宋体" w:cs="宋体"/>
              </w:rPr>
            </w:pPr>
            <w:r>
              <w:rPr>
                <w:rFonts w:hint="eastAsia" w:ascii="宋体" w:hAnsi="宋体" w:cs="宋体"/>
              </w:rPr>
              <w:t>4.6.4 特种逃生训练</w:t>
            </w:r>
          </w:p>
          <w:p>
            <w:pPr>
              <w:adjustRightInd w:val="0"/>
              <w:snapToGrid w:val="0"/>
              <w:spacing w:line="240" w:lineRule="auto"/>
              <w:ind w:firstLine="199" w:firstLineChars="95"/>
              <w:rPr>
                <w:rFonts w:ascii="宋体" w:hAnsi="宋体" w:cs="宋体"/>
              </w:rPr>
            </w:pPr>
            <w:r>
              <w:rPr>
                <w:rFonts w:hint="eastAsia" w:ascii="宋体" w:hAnsi="宋体" w:cs="宋体"/>
              </w:rPr>
              <w:t>模拟设置化学火灾不同情节，可根据情节，自主选择不同特种逃生模式，如逃生垫，绳索，消防云梯，操作者可在操作过程中可自主变换不同逃生姿态，如：走，跑，蹲，爬等，设置多条逃生路线，操作者可自主选择逃生路线。</w:t>
            </w:r>
          </w:p>
          <w:p>
            <w:pPr>
              <w:adjustRightInd w:val="0"/>
              <w:snapToGrid w:val="0"/>
              <w:spacing w:line="240" w:lineRule="auto"/>
              <w:ind w:firstLine="199" w:firstLineChars="95"/>
              <w:rPr>
                <w:rFonts w:ascii="宋体" w:hAnsi="宋体" w:cs="宋体"/>
              </w:rPr>
            </w:pPr>
            <w:r>
              <w:rPr>
                <w:rFonts w:hint="eastAsia" w:ascii="宋体" w:hAnsi="宋体" w:cs="宋体"/>
              </w:rPr>
              <w:t>5</w:t>
            </w:r>
            <w:r>
              <w:rPr>
                <w:rFonts w:hint="eastAsia" w:ascii="宋体" w:hAnsi="宋体" w:cs="宋体"/>
                <w:lang w:val="en-US" w:eastAsia="zh-CN"/>
              </w:rPr>
              <w:t>.</w:t>
            </w:r>
            <w:r>
              <w:rPr>
                <w:rFonts w:hint="eastAsia" w:ascii="宋体" w:hAnsi="宋体" w:cs="宋体"/>
              </w:rPr>
              <w:t>VR硬件设备</w:t>
            </w:r>
          </w:p>
          <w:p>
            <w:pPr>
              <w:adjustRightInd w:val="0"/>
              <w:snapToGrid w:val="0"/>
              <w:spacing w:line="240" w:lineRule="auto"/>
              <w:ind w:firstLine="199" w:firstLineChars="95"/>
              <w:rPr>
                <w:rFonts w:ascii="宋体" w:hAnsi="宋体" w:cs="宋体"/>
              </w:rPr>
            </w:pPr>
            <w:r>
              <w:rPr>
                <w:rFonts w:hint="eastAsia" w:ascii="宋体" w:hAnsi="宋体" w:cs="宋体"/>
              </w:rPr>
              <w:t>5.1</w:t>
            </w:r>
            <w:r>
              <w:rPr>
                <w:rFonts w:hint="eastAsia" w:ascii="宋体" w:hAnsi="宋体" w:cs="宋体"/>
                <w:lang w:val="en-US" w:eastAsia="zh-CN"/>
              </w:rPr>
              <w:t xml:space="preserve"> </w:t>
            </w:r>
            <w:r>
              <w:rPr>
                <w:rFonts w:hint="eastAsia" w:ascii="宋体" w:hAnsi="宋体" w:cs="宋体"/>
              </w:rPr>
              <w:t>VR控制终端要求：数量2套</w:t>
            </w:r>
          </w:p>
          <w:p>
            <w:pPr>
              <w:adjustRightInd w:val="0"/>
              <w:snapToGrid w:val="0"/>
              <w:spacing w:line="240" w:lineRule="auto"/>
              <w:ind w:firstLine="199" w:firstLineChars="95"/>
              <w:rPr>
                <w:rFonts w:ascii="宋体" w:hAnsi="宋体" w:cs="宋体"/>
              </w:rPr>
            </w:pPr>
            <w:r>
              <w:rPr>
                <w:rFonts w:hint="eastAsia" w:ascii="宋体" w:hAnsi="宋体" w:cs="宋体"/>
              </w:rPr>
              <w:t xml:space="preserve">配置不低于以下标准： 21.5英寸；四核I7 CPU；16G内存；256G固态硬盘+1T机械硬盘；4G独立显卡，USB接口数4个，千兆网卡、无 线网卡，支持WiFi6 </w:t>
            </w:r>
          </w:p>
          <w:p>
            <w:pPr>
              <w:adjustRightInd w:val="0"/>
              <w:snapToGrid w:val="0"/>
              <w:spacing w:line="240" w:lineRule="auto"/>
              <w:ind w:firstLine="199" w:firstLineChars="95"/>
              <w:rPr>
                <w:rFonts w:ascii="宋体" w:hAnsi="宋体" w:cs="宋体"/>
              </w:rPr>
            </w:pPr>
            <w:r>
              <w:rPr>
                <w:rFonts w:hint="eastAsia" w:ascii="宋体" w:hAnsi="宋体" w:cs="宋体"/>
              </w:rPr>
              <w:t>5.2</w:t>
            </w:r>
            <w:r>
              <w:rPr>
                <w:rFonts w:hint="eastAsia" w:ascii="宋体" w:hAnsi="宋体" w:cs="宋体"/>
                <w:lang w:val="en-US" w:eastAsia="zh-CN"/>
              </w:rPr>
              <w:t xml:space="preserve"> </w:t>
            </w:r>
            <w:r>
              <w:rPr>
                <w:rFonts w:hint="eastAsia" w:ascii="宋体" w:hAnsi="宋体" w:cs="宋体"/>
              </w:rPr>
              <w:t>VR设备要求：数量2套</w:t>
            </w:r>
          </w:p>
          <w:p>
            <w:pPr>
              <w:adjustRightInd w:val="0"/>
              <w:snapToGrid w:val="0"/>
              <w:spacing w:line="240" w:lineRule="auto"/>
              <w:ind w:firstLine="199" w:firstLineChars="95"/>
              <w:rPr>
                <w:rFonts w:ascii="宋体" w:hAnsi="宋体" w:cs="宋体"/>
              </w:rPr>
            </w:pPr>
            <w:r>
              <w:rPr>
                <w:rFonts w:hint="eastAsia" w:ascii="宋体" w:hAnsi="宋体" w:cs="宋体"/>
              </w:rPr>
              <w:t>Vive头戴式设备：2160×1200组合分辨率，90Hz刷新率</w:t>
            </w:r>
          </w:p>
          <w:p>
            <w:pPr>
              <w:adjustRightInd w:val="0"/>
              <w:snapToGrid w:val="0"/>
              <w:spacing w:line="240" w:lineRule="auto"/>
              <w:ind w:firstLine="199" w:firstLineChars="95"/>
              <w:rPr>
                <w:rFonts w:ascii="宋体" w:hAnsi="宋体" w:cs="宋体"/>
              </w:rPr>
            </w:pPr>
            <w:r>
              <w:rPr>
                <w:rFonts w:hint="eastAsia" w:ascii="宋体" w:hAnsi="宋体" w:cs="宋体"/>
              </w:rPr>
              <w:t>Vive操控手柄：手持操控手柄，各有24个感应器，用于实现准确的移动追踪</w:t>
            </w:r>
          </w:p>
          <w:p>
            <w:pPr>
              <w:adjustRightInd w:val="0"/>
              <w:snapToGrid w:val="0"/>
              <w:spacing w:line="240" w:lineRule="auto"/>
              <w:ind w:firstLine="199" w:firstLineChars="95"/>
              <w:rPr>
                <w:rFonts w:ascii="宋体" w:hAnsi="宋体" w:cs="宋体"/>
              </w:rPr>
            </w:pPr>
            <w:r>
              <w:rPr>
                <w:rFonts w:hint="eastAsia" w:ascii="宋体" w:hAnsi="宋体" w:cs="宋体"/>
              </w:rPr>
              <w:t>激光定位器：提供360°移动追踪，可无线同步</w:t>
            </w:r>
          </w:p>
          <w:p>
            <w:pPr>
              <w:adjustRightInd w:val="0"/>
              <w:snapToGrid w:val="0"/>
              <w:spacing w:line="240" w:lineRule="auto"/>
              <w:ind w:firstLine="199" w:firstLineChars="95"/>
              <w:rPr>
                <w:rFonts w:ascii="宋体" w:hAnsi="宋体" w:cs="宋体"/>
              </w:rPr>
            </w:pPr>
            <w:r>
              <w:rPr>
                <w:rFonts w:hint="eastAsia" w:ascii="宋体" w:hAnsi="宋体" w:cs="宋体"/>
              </w:rPr>
              <w:t>辅助套装：三合一连接线×1、音频线×1、耳塞式耳机×1、面部衬垫×2、清洁布×1、串流盒×1、电源适配器×1HDMI连接线×1、USB数据线×1、固定贴片×1、电源适配器×2、挂绳×2、Micro-USB数据线×2、电源适配器×2、安装工具包×1、同步数据线×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6" w:type="dxa"/>
            <w:vAlign w:val="center"/>
          </w:tcPr>
          <w:p>
            <w:pPr>
              <w:pStyle w:val="31"/>
              <w:spacing w:line="300" w:lineRule="auto"/>
              <w:ind w:left="7"/>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2</w:t>
            </w:r>
          </w:p>
        </w:tc>
        <w:tc>
          <w:tcPr>
            <w:tcW w:w="1105" w:type="dxa"/>
            <w:vAlign w:val="center"/>
          </w:tcPr>
          <w:p>
            <w:pPr>
              <w:pStyle w:val="32"/>
              <w:jc w:val="center"/>
              <w:rPr>
                <w:rFonts w:ascii="宋体" w:hAnsi="宋体" w:cs="宋体"/>
                <w:color w:val="auto"/>
                <w:szCs w:val="21"/>
              </w:rPr>
            </w:pPr>
          </w:p>
          <w:p>
            <w:pPr>
              <w:pStyle w:val="32"/>
              <w:jc w:val="center"/>
              <w:rPr>
                <w:rFonts w:ascii="宋体" w:hAnsi="宋体" w:cs="宋体"/>
                <w:color w:val="auto"/>
                <w:kern w:val="0"/>
                <w:szCs w:val="21"/>
              </w:rPr>
            </w:pPr>
            <w:r>
              <w:rPr>
                <w:rFonts w:hint="eastAsia" w:ascii="宋体" w:hAnsi="宋体" w:cs="宋体"/>
                <w:color w:val="auto"/>
                <w:szCs w:val="21"/>
              </w:rPr>
              <w:t>实验室安全虚拟现实3D培训考试系统</w:t>
            </w:r>
          </w:p>
        </w:tc>
        <w:tc>
          <w:tcPr>
            <w:tcW w:w="7168" w:type="dxa"/>
            <w:vAlign w:val="center"/>
          </w:tcPr>
          <w:p>
            <w:pPr>
              <w:tabs>
                <w:tab w:val="left" w:pos="6749"/>
              </w:tabs>
              <w:jc w:val="left"/>
              <w:rPr>
                <w:rFonts w:ascii="宋体" w:hAnsi="宋体" w:cs="宋体"/>
                <w:bCs/>
                <w:szCs w:val="21"/>
              </w:rPr>
            </w:pPr>
            <w:r>
              <w:rPr>
                <w:rFonts w:hint="eastAsia" w:ascii="宋体" w:hAnsi="宋体" w:cs="宋体"/>
                <w:b/>
                <w:szCs w:val="21"/>
              </w:rPr>
              <w:t>实验室安全网络学习系统</w:t>
            </w:r>
          </w:p>
          <w:p>
            <w:pPr>
              <w:tabs>
                <w:tab w:val="left" w:pos="6749"/>
              </w:tabs>
              <w:jc w:val="left"/>
              <w:rPr>
                <w:rFonts w:ascii="宋体" w:hAnsi="宋体" w:cs="宋体"/>
                <w:bCs/>
                <w:szCs w:val="21"/>
              </w:rPr>
            </w:pPr>
            <w:r>
              <w:rPr>
                <w:rFonts w:hint="eastAsia" w:ascii="宋体" w:hAnsi="宋体" w:cs="宋体"/>
                <w:bCs/>
                <w:szCs w:val="21"/>
              </w:rPr>
              <w:t>素材库要求：</w:t>
            </w:r>
          </w:p>
          <w:p>
            <w:pPr>
              <w:tabs>
                <w:tab w:val="left" w:pos="6749"/>
              </w:tabs>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w:t>
            </w:r>
            <w:r>
              <w:rPr>
                <w:rFonts w:hint="eastAsia" w:ascii="宋体" w:hAnsi="宋体" w:cs="宋体"/>
                <w:bCs/>
                <w:szCs w:val="21"/>
              </w:rPr>
              <w:t>内容全面，特色突出，科学规范，制作精良，图文并茂。</w:t>
            </w:r>
          </w:p>
          <w:p>
            <w:pPr>
              <w:tabs>
                <w:tab w:val="left" w:pos="6749"/>
              </w:tabs>
              <w:jc w:val="left"/>
              <w:rPr>
                <w:rFonts w:ascii="宋体" w:hAnsi="宋体" w:cs="宋体"/>
                <w:bCs/>
                <w:szCs w:val="21"/>
              </w:rPr>
            </w:pPr>
            <w:r>
              <w:rPr>
                <w:rFonts w:hint="eastAsia" w:ascii="宋体" w:hAnsi="宋体" w:cs="宋体"/>
                <w:bCs/>
                <w:szCs w:val="21"/>
              </w:rPr>
              <w:t>2</w:t>
            </w:r>
            <w:r>
              <w:rPr>
                <w:rFonts w:hint="eastAsia" w:ascii="宋体" w:hAnsi="宋体" w:cs="宋体"/>
                <w:bCs/>
                <w:szCs w:val="21"/>
                <w:lang w:val="en-US" w:eastAsia="zh-CN"/>
              </w:rPr>
              <w:t>.</w:t>
            </w:r>
            <w:r>
              <w:rPr>
                <w:rFonts w:hint="eastAsia" w:ascii="宋体" w:hAnsi="宋体" w:cs="宋体"/>
                <w:bCs/>
                <w:szCs w:val="21"/>
              </w:rPr>
              <w:t>火灾与预防。内容包含：燃烧 、爆炸 、火灾预防与处置等内容；</w:t>
            </w:r>
          </w:p>
          <w:p>
            <w:pPr>
              <w:tabs>
                <w:tab w:val="left" w:pos="6749"/>
              </w:tabs>
              <w:jc w:val="left"/>
              <w:rPr>
                <w:rFonts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w:t>
            </w:r>
            <w:r>
              <w:rPr>
                <w:rFonts w:hint="eastAsia" w:ascii="宋体" w:hAnsi="宋体" w:cs="宋体"/>
                <w:bCs/>
                <w:szCs w:val="21"/>
              </w:rPr>
              <w:t xml:space="preserve"> 疏散与自救。内容包含：火灾的逃生的状况及方法，火灾逃生策略，火场逃生十大秘诀 ，火灾逃生自救常识等内容；</w:t>
            </w:r>
          </w:p>
          <w:p>
            <w:pPr>
              <w:tabs>
                <w:tab w:val="left" w:pos="6749"/>
              </w:tabs>
              <w:jc w:val="left"/>
              <w:rPr>
                <w:rFonts w:ascii="宋体" w:hAnsi="宋体" w:cs="宋体"/>
                <w:bCs/>
                <w:szCs w:val="21"/>
              </w:rPr>
            </w:pPr>
            <w:r>
              <w:rPr>
                <w:rFonts w:hint="eastAsia" w:ascii="宋体" w:hAnsi="宋体" w:cs="宋体"/>
                <w:bCs/>
                <w:szCs w:val="21"/>
              </w:rPr>
              <w:t>4</w:t>
            </w:r>
            <w:r>
              <w:rPr>
                <w:rFonts w:hint="eastAsia" w:ascii="宋体" w:hAnsi="宋体" w:cs="宋体"/>
                <w:bCs/>
                <w:szCs w:val="21"/>
                <w:lang w:val="en-US" w:eastAsia="zh-CN"/>
              </w:rPr>
              <w:t>.</w:t>
            </w:r>
            <w:r>
              <w:rPr>
                <w:rFonts w:hint="eastAsia" w:ascii="宋体" w:hAnsi="宋体" w:cs="宋体"/>
                <w:bCs/>
                <w:szCs w:val="21"/>
              </w:rPr>
              <w:t>危险化学品。内容包含：爆炸品、气体、易燃液体、易燃固体、氧化性物质、毒性物质、放射性物质、腐蚀品、其他危险物质等内容；</w:t>
            </w:r>
          </w:p>
          <w:p>
            <w:pPr>
              <w:tabs>
                <w:tab w:val="left" w:pos="6749"/>
              </w:tabs>
              <w:jc w:val="left"/>
              <w:rPr>
                <w:rFonts w:ascii="宋体" w:hAnsi="宋体" w:cs="宋体"/>
                <w:bCs/>
                <w:szCs w:val="21"/>
              </w:rPr>
            </w:pPr>
            <w:r>
              <w:rPr>
                <w:rFonts w:hint="eastAsia" w:ascii="宋体" w:hAnsi="宋体" w:cs="宋体"/>
                <w:bCs/>
                <w:szCs w:val="21"/>
              </w:rPr>
              <w:t>5</w:t>
            </w:r>
            <w:r>
              <w:rPr>
                <w:rFonts w:hint="eastAsia" w:ascii="宋体" w:hAnsi="宋体" w:cs="宋体"/>
                <w:bCs/>
                <w:szCs w:val="21"/>
                <w:lang w:val="en-US" w:eastAsia="zh-CN"/>
              </w:rPr>
              <w:t>.</w:t>
            </w:r>
            <w:r>
              <w:rPr>
                <w:rFonts w:hint="eastAsia" w:ascii="宋体" w:hAnsi="宋体" w:cs="宋体"/>
                <w:bCs/>
                <w:szCs w:val="21"/>
              </w:rPr>
              <w:t>设备与防护。内容包含：实验室仪器设备类别、实验室仪器设备简介、实验室安全防护等内容要求；</w:t>
            </w:r>
          </w:p>
          <w:p>
            <w:pPr>
              <w:tabs>
                <w:tab w:val="left" w:pos="6749"/>
              </w:tabs>
              <w:jc w:val="left"/>
              <w:rPr>
                <w:rFonts w:ascii="宋体" w:hAnsi="宋体" w:cs="宋体"/>
                <w:bCs/>
                <w:szCs w:val="21"/>
              </w:rPr>
            </w:pPr>
            <w:r>
              <w:rPr>
                <w:rFonts w:hint="eastAsia" w:ascii="宋体" w:hAnsi="宋体" w:cs="宋体"/>
                <w:bCs/>
                <w:szCs w:val="21"/>
              </w:rPr>
              <w:t>6</w:t>
            </w:r>
            <w:r>
              <w:rPr>
                <w:rFonts w:hint="eastAsia" w:ascii="宋体" w:hAnsi="宋体" w:cs="宋体"/>
                <w:bCs/>
                <w:szCs w:val="21"/>
                <w:lang w:val="en-US" w:eastAsia="zh-CN"/>
              </w:rPr>
              <w:t>.</w:t>
            </w:r>
            <w:r>
              <w:rPr>
                <w:rFonts w:hint="eastAsia" w:ascii="宋体" w:hAnsi="宋体" w:cs="宋体"/>
                <w:bCs/>
                <w:szCs w:val="21"/>
              </w:rPr>
              <w:t>实验室三废处理。内容包含：实验室废弃物分类和处理、减少实验室废弃物的途径、实验室废弃物涉及常见标识、实验室废弃物管理规定等内容；</w:t>
            </w:r>
          </w:p>
          <w:p>
            <w:pPr>
              <w:tabs>
                <w:tab w:val="left" w:pos="6749"/>
              </w:tabs>
              <w:jc w:val="left"/>
              <w:rPr>
                <w:rFonts w:ascii="宋体" w:hAnsi="宋体" w:cs="宋体"/>
                <w:bCs/>
                <w:szCs w:val="21"/>
              </w:rPr>
            </w:pPr>
            <w:r>
              <w:rPr>
                <w:rFonts w:hint="eastAsia" w:ascii="宋体" w:hAnsi="宋体" w:cs="宋体"/>
                <w:bCs/>
                <w:szCs w:val="21"/>
              </w:rPr>
              <w:t>7</w:t>
            </w:r>
            <w:r>
              <w:rPr>
                <w:rFonts w:hint="eastAsia" w:ascii="宋体" w:hAnsi="宋体" w:cs="宋体"/>
                <w:bCs/>
                <w:szCs w:val="21"/>
                <w:lang w:val="en-US" w:eastAsia="zh-CN"/>
              </w:rPr>
              <w:t>.</w:t>
            </w:r>
            <w:r>
              <w:rPr>
                <w:rFonts w:hint="eastAsia" w:ascii="宋体" w:hAnsi="宋体" w:cs="宋体"/>
                <w:bCs/>
                <w:szCs w:val="21"/>
              </w:rPr>
              <w:t>消防用品的使用。内容包含：灭火器介绍及使用、灭火毯介绍及使用、消防沙箱介绍及使用等内容；</w:t>
            </w:r>
          </w:p>
          <w:p>
            <w:pPr>
              <w:tabs>
                <w:tab w:val="left" w:pos="6749"/>
              </w:tabs>
              <w:jc w:val="left"/>
              <w:rPr>
                <w:rFonts w:ascii="宋体" w:hAnsi="宋体" w:cs="宋体"/>
                <w:bCs/>
                <w:szCs w:val="21"/>
              </w:rPr>
            </w:pPr>
            <w:r>
              <w:rPr>
                <w:rFonts w:hint="eastAsia" w:ascii="宋体" w:hAnsi="宋体" w:cs="宋体"/>
                <w:bCs/>
                <w:szCs w:val="21"/>
              </w:rPr>
              <w:t>8</w:t>
            </w:r>
            <w:r>
              <w:rPr>
                <w:rFonts w:hint="eastAsia" w:ascii="宋体" w:hAnsi="宋体" w:cs="宋体"/>
                <w:bCs/>
                <w:szCs w:val="21"/>
                <w:lang w:val="en-US" w:eastAsia="zh-CN"/>
              </w:rPr>
              <w:t>.</w:t>
            </w:r>
            <w:r>
              <w:rPr>
                <w:rFonts w:hint="eastAsia" w:ascii="宋体" w:hAnsi="宋体" w:cs="宋体"/>
                <w:bCs/>
                <w:szCs w:val="21"/>
              </w:rPr>
              <w:t>实验室应注意的基本事项。内容包含：实验室发生安全事故的原因及分析、实验室应注意的基本事项、实验室中重要危害因素、化学实验室常见错误、化学实验室安全守则、药品存放注意事项、化学试剂的使用规则、事故救护方法等内容；</w:t>
            </w:r>
          </w:p>
          <w:p>
            <w:pPr>
              <w:tabs>
                <w:tab w:val="left" w:pos="6749"/>
              </w:tabs>
              <w:jc w:val="left"/>
              <w:rPr>
                <w:rFonts w:ascii="宋体" w:hAnsi="宋体" w:cs="宋体"/>
                <w:bCs/>
                <w:szCs w:val="21"/>
              </w:rPr>
            </w:pPr>
            <w:r>
              <w:rPr>
                <w:rFonts w:hint="eastAsia" w:ascii="宋体" w:hAnsi="宋体" w:cs="宋体"/>
                <w:bCs/>
                <w:szCs w:val="21"/>
              </w:rPr>
              <w:t>9</w:t>
            </w:r>
            <w:r>
              <w:rPr>
                <w:rFonts w:hint="eastAsia" w:ascii="宋体" w:hAnsi="宋体" w:cs="宋体"/>
                <w:bCs/>
                <w:szCs w:val="21"/>
                <w:lang w:val="en-US" w:eastAsia="zh-CN"/>
              </w:rPr>
              <w:t>.</w:t>
            </w:r>
            <w:r>
              <w:rPr>
                <w:rFonts w:hint="eastAsia" w:ascii="宋体" w:hAnsi="宋体" w:cs="宋体"/>
                <w:bCs/>
                <w:szCs w:val="21"/>
              </w:rPr>
              <w:t>化学实验室事故典型案例分析。要求不少于17个典型案例。要求有： 事故经过；事故原因；经验教训等；</w:t>
            </w:r>
          </w:p>
          <w:p>
            <w:pPr>
              <w:tabs>
                <w:tab w:val="left" w:pos="6749"/>
              </w:tabs>
              <w:jc w:val="left"/>
              <w:rPr>
                <w:rFonts w:ascii="宋体" w:hAnsi="宋体" w:cs="宋体"/>
                <w:bCs/>
                <w:szCs w:val="21"/>
              </w:rPr>
            </w:pPr>
            <w:r>
              <w:rPr>
                <w:rFonts w:hint="eastAsia" w:ascii="宋体" w:hAnsi="宋体" w:cs="宋体"/>
                <w:bCs/>
                <w:szCs w:val="21"/>
              </w:rPr>
              <w:t>10</w:t>
            </w:r>
            <w:r>
              <w:rPr>
                <w:rFonts w:hint="eastAsia" w:ascii="宋体" w:hAnsi="宋体" w:cs="宋体"/>
                <w:bCs/>
                <w:szCs w:val="21"/>
                <w:lang w:val="en-US" w:eastAsia="zh-CN"/>
              </w:rPr>
              <w:t>.</w:t>
            </w:r>
            <w:r>
              <w:rPr>
                <w:rFonts w:hint="eastAsia" w:ascii="宋体" w:hAnsi="宋体" w:cs="宋体"/>
                <w:bCs/>
                <w:szCs w:val="21"/>
              </w:rPr>
              <w:t>化学实验室安全用电。内容包含：常见触电危害、触电方式、用电中如何避免触电事故、触电急救措施、实验室常见用电错误等内容。</w:t>
            </w:r>
          </w:p>
          <w:p>
            <w:pPr>
              <w:tabs>
                <w:tab w:val="left" w:pos="6749"/>
              </w:tabs>
              <w:jc w:val="left"/>
              <w:rPr>
                <w:rFonts w:ascii="宋体" w:hAnsi="宋体" w:cs="宋体"/>
                <w:b/>
                <w:bCs/>
                <w:szCs w:val="21"/>
              </w:rPr>
            </w:pPr>
            <w:r>
              <w:rPr>
                <w:rFonts w:hint="eastAsia" w:ascii="宋体" w:hAnsi="宋体" w:cs="宋体"/>
                <w:b/>
                <w:bCs/>
                <w:szCs w:val="21"/>
              </w:rPr>
              <w:t>走进化学实验室要求</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三维情景式设计、自主学习；</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以真实、规范的高校化学实验室为模拟对象，包括无机化学实验室，分析化学实验室，有机化学实验室等的介绍；</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可以自主操作，通过点击相应物体，实现自主学习；</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 xml:space="preserve">化学品介绍与学习：无机化学实验室常用药品介绍；分析化学实验室常用药品介绍；有机化学实验室常用药品介绍； </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气瓶使用安全，软件采用三维虚拟仿真形式，使用者采用第一视角在实验室中漫游，根据提示找到相应物品进行学习，软件通过文字形式讲解相关药品的性质，以及使用注意事项。内容包含：气瓶搬运车，安全责任牌，气瓶库房，氧气，二氧化碳，分压阀，钢瓶标签，惰性气体，氮气，气瓶标识牌，乙炔，氢气；</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三废存储与处置，软件采用三维虚拟仿真形式，使用者采用第一视角在实验室中漫游，根据提示找到相应物品进行学习，软件通过文字形式讲解相关药品的性质，以及使用注意事项</w:t>
            </w:r>
            <w:r>
              <w:rPr>
                <w:rFonts w:hint="eastAsia" w:ascii="宋体" w:hAnsi="宋体" w:cs="宋体"/>
                <w:bCs/>
                <w:szCs w:val="21"/>
                <w:lang w:eastAsia="zh-CN"/>
              </w:rPr>
              <w:t>；</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内容包括：实验室废弃物回收暂存柜的介绍，废液回收处，废液回收日志，三废处理方法介绍，废液种类介绍，化学三废介绍；</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实验装置与安全：无机化学实验室介绍；分析化学实验室介绍；有机化学实验室介绍；</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物理化学实验室介绍。软件采用三维虚拟仿真形式，使用者采用第一视角在实验室中漫游，根据提示找到相应物品进行学习，软件通过文字形式讲解相关药品的性质，以及使用注意事项。包括氧弹式量热仪的介绍，金属相图实验装置介绍，饱和蒸气压测定装置介绍，物理化学废液回收处介绍；</w:t>
            </w:r>
          </w:p>
          <w:p>
            <w:pPr>
              <w:numPr>
                <w:ilvl w:val="0"/>
                <w:numId w:val="4"/>
              </w:numPr>
              <w:tabs>
                <w:tab w:val="left" w:pos="6749"/>
              </w:tabs>
              <w:ind w:firstLine="218" w:firstLineChars="104"/>
              <w:jc w:val="left"/>
              <w:rPr>
                <w:rFonts w:ascii="宋体" w:hAnsi="宋体" w:cs="宋体"/>
                <w:bCs/>
                <w:szCs w:val="21"/>
              </w:rPr>
            </w:pPr>
            <w:r>
              <w:rPr>
                <w:rFonts w:hint="eastAsia" w:ascii="宋体" w:hAnsi="宋体" w:cs="宋体"/>
                <w:bCs/>
                <w:szCs w:val="21"/>
              </w:rPr>
              <w:t>消防安全教育。软件采用三维虚拟仿真形式，使用者采用第一视角在实验楼中漫游，根据提示找到相应物品进行学习，软件通过文字形式讲解相关药品的性质，以及使用注意事项。内容包括：消防喷淋头、烟雾报警器，消防应急灯，消防疏散示意图，室内消火栓，逃生指示牌，灭火器箱，室外消防栓，实验室通风柜，实验室手册，消防沙箱，灭火毯，吸油纸，消防面罩，电源箱。</w:t>
            </w:r>
          </w:p>
          <w:p>
            <w:pPr>
              <w:tabs>
                <w:tab w:val="left" w:pos="6749"/>
              </w:tabs>
              <w:jc w:val="left"/>
              <w:rPr>
                <w:rFonts w:ascii="宋体" w:hAnsi="宋体" w:cs="宋体"/>
                <w:b/>
                <w:szCs w:val="21"/>
              </w:rPr>
            </w:pPr>
            <w:r>
              <w:rPr>
                <w:rFonts w:hint="eastAsia" w:ascii="宋体" w:hAnsi="宋体" w:cs="宋体"/>
                <w:b/>
                <w:szCs w:val="21"/>
              </w:rPr>
              <w:t>实验室安全虚拟仿真演练系统</w:t>
            </w:r>
          </w:p>
          <w:p>
            <w:pPr>
              <w:tabs>
                <w:tab w:val="left" w:pos="6749"/>
              </w:tabs>
              <w:jc w:val="left"/>
              <w:rPr>
                <w:rFonts w:ascii="宋体" w:hAnsi="宋体" w:cs="宋体"/>
                <w:bCs/>
                <w:szCs w:val="21"/>
              </w:rPr>
            </w:pPr>
            <w:r>
              <w:rPr>
                <w:rFonts w:hint="eastAsia" w:ascii="宋体" w:hAnsi="宋体" w:cs="宋体"/>
                <w:bCs/>
                <w:szCs w:val="21"/>
              </w:rPr>
              <w:t>化学实验室安全隐患查找要求</w:t>
            </w:r>
          </w:p>
          <w:p>
            <w:pPr>
              <w:numPr>
                <w:ilvl w:val="0"/>
                <w:numId w:val="5"/>
              </w:numPr>
              <w:tabs>
                <w:tab w:val="left" w:pos="6749"/>
              </w:tabs>
              <w:ind w:firstLine="220"/>
              <w:jc w:val="left"/>
              <w:rPr>
                <w:rFonts w:ascii="宋体" w:hAnsi="宋体" w:cs="宋体"/>
                <w:bCs/>
                <w:szCs w:val="21"/>
              </w:rPr>
            </w:pPr>
            <w:r>
              <w:rPr>
                <w:rFonts w:hint="eastAsia" w:ascii="宋体" w:hAnsi="宋体" w:cs="宋体"/>
                <w:bCs/>
                <w:szCs w:val="21"/>
              </w:rPr>
              <w:t>三维情景式设计，包括化学实验中心外部环境，实验室内部场景；</w:t>
            </w:r>
          </w:p>
          <w:p>
            <w:pPr>
              <w:numPr>
                <w:ilvl w:val="0"/>
                <w:numId w:val="5"/>
              </w:numPr>
              <w:tabs>
                <w:tab w:val="left" w:pos="6749"/>
              </w:tabs>
              <w:ind w:firstLine="220"/>
              <w:jc w:val="left"/>
              <w:rPr>
                <w:rFonts w:ascii="宋体" w:hAnsi="宋体" w:cs="宋体"/>
                <w:bCs/>
                <w:szCs w:val="21"/>
              </w:rPr>
            </w:pPr>
            <w:r>
              <w:rPr>
                <w:rFonts w:hint="eastAsia" w:ascii="宋体" w:hAnsi="宋体" w:cs="宋体"/>
                <w:bCs/>
                <w:szCs w:val="21"/>
              </w:rPr>
              <w:t>以真实、规范的高校化学实验室为模拟对象，包括各种化学实验室；</w:t>
            </w:r>
          </w:p>
          <w:p>
            <w:pPr>
              <w:numPr>
                <w:ilvl w:val="0"/>
                <w:numId w:val="5"/>
              </w:numPr>
              <w:tabs>
                <w:tab w:val="left" w:pos="6749"/>
              </w:tabs>
              <w:ind w:firstLine="220"/>
              <w:jc w:val="left"/>
              <w:rPr>
                <w:rFonts w:ascii="宋体" w:hAnsi="宋体" w:cs="宋体"/>
                <w:bCs/>
                <w:szCs w:val="21"/>
              </w:rPr>
            </w:pPr>
            <w:r>
              <w:rPr>
                <w:rFonts w:hint="eastAsia" w:ascii="宋体" w:hAnsi="宋体" w:cs="宋体"/>
                <w:bCs/>
                <w:szCs w:val="21"/>
              </w:rPr>
              <w:t>以真实过程为模拟对象，情节合理，形象逼真，内容丰富，科学规范；</w:t>
            </w:r>
          </w:p>
          <w:p>
            <w:pPr>
              <w:numPr>
                <w:ilvl w:val="0"/>
                <w:numId w:val="5"/>
              </w:numPr>
              <w:tabs>
                <w:tab w:val="left" w:pos="6749"/>
              </w:tabs>
              <w:ind w:firstLine="220"/>
              <w:jc w:val="left"/>
              <w:rPr>
                <w:rFonts w:ascii="宋体" w:hAnsi="宋体" w:cs="宋体"/>
                <w:bCs/>
                <w:szCs w:val="21"/>
              </w:rPr>
            </w:pPr>
            <w:r>
              <w:rPr>
                <w:rFonts w:hint="eastAsia" w:ascii="宋体" w:hAnsi="宋体" w:cs="宋体"/>
                <w:bCs/>
                <w:szCs w:val="21"/>
              </w:rPr>
              <w:t>软件采用三维虚拟仿真形式，使用者采用第一视角在实验室中漫游，查找实验室中可能存在的错误，找到错误点后，系统会自动弹出选择框，使用者需要选出正确答案，如果选择错误，系统会自动记录并且扣分；</w:t>
            </w:r>
          </w:p>
          <w:p>
            <w:pPr>
              <w:numPr>
                <w:ilvl w:val="0"/>
                <w:numId w:val="5"/>
              </w:numPr>
              <w:tabs>
                <w:tab w:val="left" w:pos="6749"/>
              </w:tabs>
              <w:ind w:firstLine="220"/>
              <w:jc w:val="left"/>
              <w:rPr>
                <w:rFonts w:ascii="宋体" w:hAnsi="宋体" w:cs="宋体"/>
                <w:bCs/>
                <w:szCs w:val="21"/>
              </w:rPr>
            </w:pPr>
            <w:r>
              <w:rPr>
                <w:rFonts w:hint="eastAsia" w:ascii="宋体" w:hAnsi="宋体" w:cs="宋体"/>
                <w:color w:val="000000"/>
                <w:sz w:val="24"/>
              </w:rPr>
              <w:t>▲</w:t>
            </w:r>
            <w:r>
              <w:rPr>
                <w:rFonts w:hint="eastAsia" w:ascii="宋体" w:hAnsi="宋体" w:cs="宋体"/>
                <w:bCs/>
                <w:szCs w:val="21"/>
              </w:rPr>
              <w:t>实验室安全隐患查找：化学药品篇。包含24个知识点。气瓶安全篇。错误点设置28项。三废与处置篇，错误点设置36项。安全设施篇，设置错误点25项。实验室环境与管理篇，错误点设置17项。水电安全篇，错误点设置16项。仪器设备安全篇，设置错误点22项。夜间安全隐患查找，错误点设置22项</w:t>
            </w:r>
            <w:r>
              <w:rPr>
                <w:rFonts w:hint="eastAsia" w:ascii="宋体" w:hAnsi="宋体" w:cs="宋体"/>
                <w:bCs/>
                <w:szCs w:val="21"/>
                <w:lang w:eastAsia="zh-CN"/>
              </w:rPr>
              <w:t>；</w:t>
            </w:r>
          </w:p>
          <w:p>
            <w:pPr>
              <w:numPr>
                <w:ilvl w:val="0"/>
                <w:numId w:val="5"/>
              </w:numPr>
              <w:tabs>
                <w:tab w:val="left" w:pos="6749"/>
              </w:tabs>
              <w:ind w:firstLine="220"/>
              <w:jc w:val="left"/>
              <w:rPr>
                <w:rFonts w:ascii="宋体" w:hAnsi="宋体" w:cs="宋体"/>
                <w:bCs/>
                <w:szCs w:val="21"/>
              </w:rPr>
            </w:pPr>
            <w:r>
              <w:rPr>
                <w:rFonts w:hint="eastAsia" w:ascii="宋体" w:hAnsi="宋体" w:cs="宋体"/>
                <w:bCs/>
                <w:szCs w:val="21"/>
              </w:rPr>
              <w:t>所有的错误点都可以选择随机出现或者必须出现，每个错误点的分值可以自由设置</w:t>
            </w:r>
            <w:r>
              <w:rPr>
                <w:rFonts w:hint="eastAsia" w:ascii="宋体" w:hAnsi="宋体" w:cs="宋体"/>
                <w:bCs/>
                <w:szCs w:val="21"/>
                <w:lang w:eastAsia="zh-CN"/>
              </w:rPr>
              <w:t>；</w:t>
            </w:r>
          </w:p>
          <w:p>
            <w:pPr>
              <w:numPr>
                <w:ilvl w:val="0"/>
                <w:numId w:val="5"/>
              </w:numPr>
              <w:tabs>
                <w:tab w:val="left" w:pos="6749"/>
              </w:tabs>
              <w:ind w:firstLine="220"/>
              <w:jc w:val="left"/>
              <w:rPr>
                <w:rFonts w:ascii="宋体" w:hAnsi="宋体" w:cs="宋体"/>
                <w:bCs/>
                <w:szCs w:val="21"/>
              </w:rPr>
            </w:pPr>
            <w:r>
              <w:rPr>
                <w:rFonts w:hint="eastAsia" w:ascii="宋体" w:hAnsi="宋体" w:cs="宋体"/>
                <w:color w:val="000000"/>
                <w:sz w:val="24"/>
              </w:rPr>
              <w:t>▲</w:t>
            </w:r>
            <w:r>
              <w:rPr>
                <w:rFonts w:hint="eastAsia" w:ascii="宋体" w:hAnsi="宋体" w:cs="宋体"/>
                <w:bCs/>
                <w:szCs w:val="21"/>
              </w:rPr>
              <w:t>安全隐患查找需配套高等教育出版社出版的教材使用。</w:t>
            </w:r>
          </w:p>
          <w:p>
            <w:pPr>
              <w:tabs>
                <w:tab w:val="left" w:pos="6749"/>
              </w:tabs>
              <w:jc w:val="left"/>
              <w:rPr>
                <w:rFonts w:ascii="宋体" w:hAnsi="宋体" w:cs="宋体"/>
                <w:b/>
                <w:bCs/>
                <w:szCs w:val="21"/>
              </w:rPr>
            </w:pPr>
            <w:r>
              <w:rPr>
                <w:rFonts w:hint="eastAsia" w:ascii="宋体" w:hAnsi="宋体" w:cs="宋体"/>
                <w:b/>
                <w:bCs/>
                <w:szCs w:val="21"/>
              </w:rPr>
              <w:t>三维互动消防演练</w:t>
            </w:r>
          </w:p>
          <w:p>
            <w:pPr>
              <w:numPr>
                <w:ilvl w:val="0"/>
                <w:numId w:val="6"/>
              </w:numPr>
              <w:tabs>
                <w:tab w:val="left" w:pos="6749"/>
              </w:tabs>
              <w:ind w:firstLine="220"/>
              <w:jc w:val="left"/>
              <w:rPr>
                <w:rFonts w:ascii="宋体" w:hAnsi="宋体" w:cs="宋体"/>
                <w:bCs/>
                <w:szCs w:val="21"/>
              </w:rPr>
            </w:pPr>
            <w:r>
              <w:rPr>
                <w:rFonts w:hint="eastAsia" w:ascii="宋体" w:hAnsi="宋体" w:cs="宋体"/>
                <w:bCs/>
                <w:szCs w:val="21"/>
              </w:rPr>
              <w:t>三维情景式设计开发，包括外部环境，实验室内部场景；</w:t>
            </w:r>
          </w:p>
          <w:p>
            <w:pPr>
              <w:numPr>
                <w:ilvl w:val="0"/>
                <w:numId w:val="6"/>
              </w:numPr>
              <w:tabs>
                <w:tab w:val="left" w:pos="6749"/>
              </w:tabs>
              <w:ind w:firstLine="220"/>
              <w:jc w:val="left"/>
              <w:rPr>
                <w:rFonts w:ascii="宋体" w:hAnsi="宋体" w:cs="宋体"/>
                <w:bCs/>
                <w:szCs w:val="21"/>
              </w:rPr>
            </w:pPr>
            <w:r>
              <w:rPr>
                <w:rFonts w:hint="eastAsia" w:ascii="宋体" w:hAnsi="宋体" w:cs="宋体"/>
                <w:bCs/>
                <w:szCs w:val="21"/>
              </w:rPr>
              <w:t>以真实过程为模拟对象，合理，逼真，内容丰富，科学规范；</w:t>
            </w:r>
          </w:p>
          <w:p>
            <w:pPr>
              <w:numPr>
                <w:ilvl w:val="0"/>
                <w:numId w:val="6"/>
              </w:numPr>
              <w:tabs>
                <w:tab w:val="left" w:pos="6749"/>
              </w:tabs>
              <w:ind w:firstLine="220"/>
              <w:jc w:val="left"/>
              <w:rPr>
                <w:rFonts w:ascii="宋体" w:hAnsi="宋体" w:cs="宋体"/>
                <w:bCs/>
                <w:szCs w:val="21"/>
              </w:rPr>
            </w:pPr>
            <w:r>
              <w:rPr>
                <w:rFonts w:hint="eastAsia" w:ascii="宋体" w:hAnsi="宋体" w:cs="宋体"/>
                <w:bCs/>
                <w:szCs w:val="21"/>
              </w:rPr>
              <w:t>多种模式，体现参数化设计，互动性强，可互动模拟各种消防实训过程；</w:t>
            </w:r>
          </w:p>
          <w:p>
            <w:pPr>
              <w:numPr>
                <w:ilvl w:val="0"/>
                <w:numId w:val="6"/>
              </w:numPr>
              <w:tabs>
                <w:tab w:val="left" w:pos="6749"/>
              </w:tabs>
              <w:ind w:firstLine="220"/>
              <w:jc w:val="left"/>
              <w:rPr>
                <w:rFonts w:ascii="宋体" w:hAnsi="宋体" w:cs="宋体"/>
                <w:bCs/>
                <w:szCs w:val="21"/>
              </w:rPr>
            </w:pPr>
            <w:r>
              <w:rPr>
                <w:rFonts w:hint="eastAsia" w:ascii="宋体" w:hAnsi="宋体" w:cs="宋体"/>
                <w:bCs/>
                <w:szCs w:val="21"/>
              </w:rPr>
              <w:t>可以自主操作，可实现自主学习，自主练习，自主考核。可查看考核结果；</w:t>
            </w:r>
          </w:p>
          <w:p>
            <w:pPr>
              <w:numPr>
                <w:ilvl w:val="0"/>
                <w:numId w:val="6"/>
              </w:numPr>
              <w:tabs>
                <w:tab w:val="left" w:pos="6749"/>
              </w:tabs>
              <w:ind w:firstLine="220"/>
              <w:jc w:val="left"/>
              <w:rPr>
                <w:rFonts w:ascii="宋体" w:hAnsi="宋体" w:cs="宋体"/>
                <w:bCs/>
                <w:szCs w:val="21"/>
              </w:rPr>
            </w:pPr>
            <w:r>
              <w:rPr>
                <w:rFonts w:hint="eastAsia" w:ascii="宋体" w:hAnsi="宋体" w:cs="宋体"/>
                <w:bCs/>
                <w:szCs w:val="21"/>
              </w:rPr>
              <w:t>网络化三维情景化消防灭火训练与实训：灭火器训练与实训，灭火毯训练与实训，消防沙箱训练与实训，三维互动消防演练需配套高等教育出版社出版的教材使用</w:t>
            </w:r>
            <w:r>
              <w:rPr>
                <w:rFonts w:hint="eastAsia" w:ascii="宋体" w:hAnsi="宋体" w:cs="宋体"/>
                <w:bCs/>
                <w:szCs w:val="21"/>
                <w:lang w:eastAsia="zh-CN"/>
              </w:rPr>
              <w:t>；</w:t>
            </w:r>
          </w:p>
          <w:p>
            <w:pPr>
              <w:numPr>
                <w:ilvl w:val="0"/>
                <w:numId w:val="6"/>
              </w:numPr>
              <w:tabs>
                <w:tab w:val="left" w:pos="6749"/>
              </w:tabs>
              <w:ind w:firstLine="220"/>
              <w:jc w:val="left"/>
              <w:rPr>
                <w:rFonts w:ascii="宋体" w:hAnsi="宋体" w:cs="宋体"/>
                <w:bCs/>
                <w:szCs w:val="21"/>
              </w:rPr>
            </w:pPr>
            <w:r>
              <w:rPr>
                <w:rFonts w:hint="eastAsia" w:ascii="宋体" w:hAnsi="宋体" w:cs="宋体"/>
                <w:bCs/>
                <w:szCs w:val="21"/>
              </w:rPr>
              <w:t>试剂的使用虚拟演练包含：金属钠的取用与钠渣的处理，浓硫酸的稀释与烧伤的处置，甲醇的取用训练，苯酚的取用与伤害的紧急处置，DMSO的取用与低温防冻液的配制，溴化乙锭溶液配制与废液处置，氢气瓶的安全使用。试剂的使用需配套高等教育出版社出版的教材使用</w:t>
            </w:r>
            <w:r>
              <w:rPr>
                <w:rFonts w:hint="eastAsia" w:ascii="宋体" w:hAnsi="宋体" w:cs="宋体"/>
                <w:bCs/>
                <w:szCs w:val="21"/>
                <w:lang w:eastAsia="zh-CN"/>
              </w:rPr>
              <w:t>；</w:t>
            </w:r>
          </w:p>
          <w:p>
            <w:pPr>
              <w:numPr>
                <w:ilvl w:val="0"/>
                <w:numId w:val="6"/>
              </w:numPr>
              <w:tabs>
                <w:tab w:val="left" w:pos="6749"/>
              </w:tabs>
              <w:ind w:firstLine="220"/>
              <w:jc w:val="left"/>
              <w:rPr>
                <w:rFonts w:ascii="宋体" w:hAnsi="宋体" w:cs="宋体"/>
                <w:bCs/>
                <w:szCs w:val="21"/>
              </w:rPr>
            </w:pPr>
            <w:r>
              <w:rPr>
                <w:rFonts w:hint="eastAsia" w:ascii="宋体" w:hAnsi="宋体" w:cs="宋体"/>
                <w:bCs/>
                <w:szCs w:val="21"/>
              </w:rPr>
              <w:t>逃生演练</w:t>
            </w:r>
            <w:r>
              <w:rPr>
                <w:rFonts w:hint="eastAsia" w:ascii="宋体" w:hAnsi="宋体" w:cs="宋体"/>
                <w:bCs/>
                <w:szCs w:val="21"/>
                <w:lang w:eastAsia="zh-CN"/>
              </w:rPr>
              <w:t>；</w:t>
            </w:r>
          </w:p>
          <w:p>
            <w:pPr>
              <w:numPr>
                <w:ilvl w:val="0"/>
                <w:numId w:val="6"/>
              </w:numPr>
              <w:tabs>
                <w:tab w:val="left" w:pos="6749"/>
              </w:tabs>
              <w:ind w:firstLine="220"/>
              <w:jc w:val="left"/>
              <w:rPr>
                <w:rFonts w:ascii="宋体" w:hAnsi="宋体" w:cs="宋体"/>
                <w:bCs/>
                <w:szCs w:val="21"/>
              </w:rPr>
            </w:pPr>
            <w:r>
              <w:rPr>
                <w:rFonts w:hint="eastAsia" w:ascii="宋体" w:hAnsi="宋体" w:cs="宋体"/>
                <w:bCs/>
                <w:szCs w:val="21"/>
              </w:rPr>
              <w:t>以上模块配套对应的VR模块。</w:t>
            </w:r>
          </w:p>
          <w:p>
            <w:pPr>
              <w:tabs>
                <w:tab w:val="left" w:pos="6749"/>
              </w:tabs>
              <w:jc w:val="left"/>
              <w:rPr>
                <w:rFonts w:ascii="宋体" w:hAnsi="宋体" w:cs="宋体"/>
                <w:b/>
                <w:szCs w:val="21"/>
              </w:rPr>
            </w:pPr>
            <w:r>
              <w:rPr>
                <w:rFonts w:hint="eastAsia" w:ascii="宋体" w:hAnsi="宋体" w:cs="宋体"/>
                <w:b/>
                <w:szCs w:val="21"/>
              </w:rPr>
              <w:t>实验室安全考核系统</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考试系统要求</w:t>
            </w:r>
            <w:r>
              <w:rPr>
                <w:rFonts w:hint="eastAsia" w:ascii="宋体" w:hAnsi="宋体" w:cs="宋体"/>
                <w:bCs/>
                <w:szCs w:val="21"/>
                <w:lang w:eastAsia="zh-CN"/>
              </w:rPr>
              <w:t>。</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考试系统具有试卷题管理功能，试题可以选择单选题，多选题，判断题，填空题，简答题和论述题。</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试题可以任意添加和删除，也可以通过模板自动导入。</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考试题目具有标签功能，方便使用者在组卷以及在进行成绩统计时进行分类查看。标签可以任意添加和修改。</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试题可以设置难度系数。系统会根据在使用过程中答题的错误率自动计算难度系数。</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试题的内容和答案不限制于文字，还可以上传图片。试题可以设置提示参考，描述，以及分值权重以及解析。答题结束后，系统自动会给出答错题目的解析。</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系统具有自动组卷功能。使用者可以任意创建试卷名称，试卷介绍，及格分数，考试时长和发布时间以及试卷难度系数。系统会根据创建的试卷难度自动从题库中选择对应难度的题目。如果对应难度的题目不够，则会平均从高于和低于此难度的题目中进行选择，使试卷整体的难度系数达到所需难度。自动组卷功能中，通过标签对题库进行筛选。通过设置题目类型以及每题的分数权重，系统会自动进行组卷。可以自由选择试卷中包含某一个标签或者同时包含某多个标签的题目的数量，也可以限定包含某些标签且不包含某些标签的题目的数量。</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生成的试卷可以预览查看，可以修改，可以指定上线时间，或者删除。</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生成的试卷可以锁定题目，但是题干顺序和相同题干的答案顺序均会随机变化。同时，系统会正确统计所选择的答案的数量。生成的试卷可以不锁定题目，题干会从题库中随机生成，相同题干的答案顺序会随机变化。同时，系统会正确统计所选择的答案的数量。考试成绩可以按照学院，专业，班级，试卷名称，考试时间，测试总次数，试卷总分等进行统计。</w:t>
            </w:r>
          </w:p>
          <w:p>
            <w:pPr>
              <w:numPr>
                <w:ilvl w:val="0"/>
                <w:numId w:val="7"/>
              </w:numPr>
              <w:tabs>
                <w:tab w:val="left" w:pos="6749"/>
              </w:tabs>
              <w:ind w:firstLine="220"/>
              <w:jc w:val="left"/>
              <w:rPr>
                <w:rFonts w:ascii="宋体" w:hAnsi="宋体" w:cs="宋体"/>
                <w:bCs/>
                <w:szCs w:val="21"/>
              </w:rPr>
            </w:pPr>
            <w:r>
              <w:rPr>
                <w:rFonts w:hint="eastAsia" w:ascii="宋体" w:hAnsi="宋体" w:cs="宋体"/>
                <w:bCs/>
                <w:szCs w:val="21"/>
              </w:rPr>
              <w:t>考试系统具有错题本功能，可以统计错误的题目，方便复习学习</w:t>
            </w:r>
            <w:r>
              <w:rPr>
                <w:rFonts w:hint="eastAsia" w:ascii="宋体" w:hAnsi="宋体" w:cs="宋体"/>
                <w:bCs/>
                <w:szCs w:val="21"/>
                <w:lang w:eastAsia="zh-CN"/>
              </w:rPr>
              <w:t>。</w:t>
            </w:r>
          </w:p>
          <w:p>
            <w:pPr>
              <w:numPr>
                <w:ilvl w:val="0"/>
                <w:numId w:val="7"/>
              </w:numPr>
              <w:tabs>
                <w:tab w:val="left" w:pos="6749"/>
              </w:tabs>
              <w:ind w:firstLine="220"/>
              <w:jc w:val="left"/>
              <w:rPr>
                <w:rFonts w:ascii="宋体" w:hAnsi="宋体" w:cs="宋体"/>
                <w:bCs/>
                <w:szCs w:val="21"/>
              </w:rPr>
            </w:pPr>
            <w:r>
              <w:rPr>
                <w:rFonts w:hint="eastAsia" w:ascii="宋体" w:hAnsi="宋体" w:cs="宋体"/>
                <w:color w:val="000000"/>
                <w:sz w:val="24"/>
              </w:rPr>
              <w:t>▲</w:t>
            </w:r>
            <w:r>
              <w:rPr>
                <w:rFonts w:hint="eastAsia" w:ascii="宋体" w:hAnsi="宋体" w:cs="宋体"/>
                <w:bCs/>
                <w:szCs w:val="21"/>
              </w:rPr>
              <w:t>包含不少于2000道安全试题。</w:t>
            </w:r>
          </w:p>
          <w:p>
            <w:pPr>
              <w:tabs>
                <w:tab w:val="left" w:pos="6749"/>
              </w:tabs>
              <w:jc w:val="left"/>
              <w:rPr>
                <w:rFonts w:ascii="宋体" w:hAnsi="宋体" w:cs="宋体"/>
                <w:b/>
                <w:bCs/>
                <w:szCs w:val="21"/>
              </w:rPr>
            </w:pPr>
            <w:r>
              <w:rPr>
                <w:rFonts w:hint="eastAsia" w:ascii="宋体" w:hAnsi="宋体" w:cs="宋体"/>
                <w:b/>
                <w:bCs/>
                <w:szCs w:val="21"/>
              </w:rPr>
              <w:t xml:space="preserve">安全小游戏 </w:t>
            </w:r>
          </w:p>
          <w:p>
            <w:pPr>
              <w:numPr>
                <w:ilvl w:val="0"/>
                <w:numId w:val="8"/>
              </w:numPr>
              <w:tabs>
                <w:tab w:val="left" w:pos="6749"/>
              </w:tabs>
              <w:ind w:firstLine="220"/>
              <w:jc w:val="left"/>
              <w:rPr>
                <w:rFonts w:ascii="宋体" w:hAnsi="宋体" w:cs="宋体"/>
                <w:bCs/>
                <w:szCs w:val="21"/>
              </w:rPr>
            </w:pPr>
            <w:r>
              <w:rPr>
                <w:rFonts w:hint="eastAsia" w:ascii="宋体" w:hAnsi="宋体" w:cs="宋体"/>
                <w:bCs/>
                <w:szCs w:val="21"/>
              </w:rPr>
              <w:t>实验室安全检查该模块模拟存在安全隐患的多个实验场景，用户可以通过找茬的方式进行安全隐患排查。用户可以设置挑战的图片数量和总用时，单张图片的检查时间最长为10秒。设定时间内找到错误点会显示正确的状态，并在2秒后进入下一张图片。此次检查正常得分。未能在10秒内找到错误点则不显示正确状态，2秒后自动进入下一张，此次检查不得分。最大查找数量不大于50，图片内容可以添加。</w:t>
            </w:r>
          </w:p>
          <w:p>
            <w:pPr>
              <w:numPr>
                <w:ilvl w:val="0"/>
                <w:numId w:val="8"/>
              </w:numPr>
              <w:tabs>
                <w:tab w:val="left" w:pos="6749"/>
              </w:tabs>
              <w:ind w:firstLine="220"/>
              <w:jc w:val="left"/>
              <w:rPr>
                <w:rFonts w:ascii="宋体" w:hAnsi="宋体" w:cs="宋体"/>
                <w:bCs/>
                <w:szCs w:val="21"/>
              </w:rPr>
            </w:pPr>
            <w:r>
              <w:rPr>
                <w:rFonts w:hint="eastAsia" w:ascii="宋体" w:hAnsi="宋体" w:cs="宋体"/>
                <w:bCs/>
                <w:szCs w:val="21"/>
              </w:rPr>
              <w:t>化学药品鉴别模块，会随机给出化学药品名称，用户需要进行危险类别判断，并选择合适的标志，试剂瓶或消防用具。进入“化学药品鉴别”实验界面后，需分别点击安全标志，试剂瓶，灭火器三个实验内容，在弹出相应内容中进行选择。被选择物品进入已选列表，也可以从已选列表中删除物品。鉴别数可以自由设置，但是不超过50。每个鉴别时间可自由设置，但是最多设置200秒。</w:t>
            </w:r>
          </w:p>
          <w:p>
            <w:pPr>
              <w:numPr>
                <w:ilvl w:val="0"/>
                <w:numId w:val="8"/>
              </w:numPr>
              <w:tabs>
                <w:tab w:val="left" w:pos="6749"/>
              </w:tabs>
              <w:ind w:firstLine="220"/>
              <w:jc w:val="left"/>
              <w:rPr>
                <w:rFonts w:ascii="宋体" w:hAnsi="宋体" w:cs="宋体"/>
                <w:bCs/>
                <w:szCs w:val="21"/>
              </w:rPr>
            </w:pPr>
            <w:r>
              <w:rPr>
                <w:rFonts w:hint="eastAsia" w:ascii="宋体" w:hAnsi="宋体" w:cs="宋体"/>
                <w:bCs/>
                <w:szCs w:val="21"/>
              </w:rPr>
              <w:t>危险化学试剂个人防护用品选择，进入系统，使用者先选择可能遇到的危险化学品，可选择有机过氧化物，腐蚀品，易燃液体，压缩空气，有毒品5类。选定一类过后，进去防护品选择。每一类危险化学试剂，对应12个正确的防护用品，需要从40个防护用品中选择出来，全选对得分，选不对不得分。</w:t>
            </w:r>
          </w:p>
          <w:p>
            <w:pPr>
              <w:numPr>
                <w:ilvl w:val="0"/>
                <w:numId w:val="8"/>
              </w:numPr>
              <w:tabs>
                <w:tab w:val="left" w:pos="6749"/>
              </w:tabs>
              <w:ind w:firstLine="220"/>
              <w:jc w:val="left"/>
              <w:rPr>
                <w:rFonts w:ascii="宋体" w:hAnsi="宋体" w:cs="宋体"/>
                <w:kern w:val="0"/>
                <w:szCs w:val="21"/>
              </w:rPr>
            </w:pPr>
            <w:r>
              <w:rPr>
                <w:rFonts w:hint="eastAsia" w:ascii="宋体" w:hAnsi="宋体" w:cs="宋体"/>
                <w:bCs/>
                <w:szCs w:val="21"/>
              </w:rPr>
              <w:t>安全设备模型组合，此模块需要对安全设备模型进行学习组合，每个模型会被分成不同的图块，，用户需把图块按照正确的顺序组装起来安全设备不少于50个，包含：消防警铃，防火沙桶，液氮罐，手套箱，氧气瓶，马弗炉，气动减压阀，防爆废液桶，通风橱，氮气瓶，AED机，离心机，灭火毯，可燃气体检测器，烘箱，灭火器，洗眼器，防毒面具，微博反应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526" w:type="dxa"/>
            <w:vAlign w:val="center"/>
          </w:tcPr>
          <w:p>
            <w:pPr>
              <w:pStyle w:val="31"/>
              <w:spacing w:line="300" w:lineRule="auto"/>
              <w:ind w:left="7"/>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3</w:t>
            </w:r>
          </w:p>
        </w:tc>
        <w:tc>
          <w:tcPr>
            <w:tcW w:w="1105" w:type="dxa"/>
            <w:vAlign w:val="center"/>
          </w:tcPr>
          <w:p>
            <w:pPr>
              <w:pStyle w:val="32"/>
              <w:jc w:val="center"/>
              <w:rPr>
                <w:rFonts w:ascii="宋体" w:hAnsi="宋体" w:cs="宋体"/>
                <w:color w:val="auto"/>
                <w:szCs w:val="21"/>
              </w:rPr>
            </w:pPr>
          </w:p>
          <w:p>
            <w:pPr>
              <w:pStyle w:val="32"/>
              <w:jc w:val="center"/>
              <w:rPr>
                <w:rFonts w:ascii="宋体" w:hAnsi="宋体" w:cs="宋体"/>
                <w:color w:val="auto"/>
                <w:kern w:val="0"/>
                <w:szCs w:val="21"/>
              </w:rPr>
            </w:pPr>
            <w:r>
              <w:rPr>
                <w:rFonts w:hint="eastAsia" w:ascii="宋体" w:hAnsi="宋体" w:cs="宋体"/>
                <w:color w:val="auto"/>
                <w:szCs w:val="21"/>
              </w:rPr>
              <w:t>HSE双重预防体系</w:t>
            </w:r>
          </w:p>
        </w:tc>
        <w:tc>
          <w:tcPr>
            <w:tcW w:w="7168"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jc w:val="left"/>
              <w:textAlignment w:val="auto"/>
              <w:rPr>
                <w:rFonts w:ascii="宋体" w:hAnsi="宋体" w:cs="宋体"/>
                <w:sz w:val="21"/>
                <w:szCs w:val="21"/>
                <w:lang w:eastAsia="zh-CN"/>
              </w:rPr>
            </w:pPr>
            <w:r>
              <w:rPr>
                <w:rFonts w:hint="eastAsia" w:ascii="宋体" w:hAnsi="宋体" w:cs="宋体"/>
                <w:sz w:val="21"/>
                <w:szCs w:val="21"/>
                <w:lang w:eastAsia="zh-CN"/>
              </w:rPr>
              <w:t>需基于3D系统开发，部署于云仿真系统上，用于教学与培训。产品的内容需根据国家相关要求设计。</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210" w:firstLineChars="100"/>
              <w:jc w:val="left"/>
              <w:textAlignment w:val="auto"/>
              <w:rPr>
                <w:rFonts w:hint="eastAsia" w:ascii="宋体" w:hAnsi="宋体" w:cs="宋体"/>
                <w:sz w:val="21"/>
                <w:szCs w:val="21"/>
                <w:lang w:eastAsia="zh-CN"/>
              </w:rPr>
            </w:pPr>
            <w:r>
              <w:rPr>
                <w:rFonts w:hint="eastAsia" w:ascii="宋体" w:hAnsi="宋体" w:cs="宋体"/>
                <w:sz w:val="21"/>
                <w:szCs w:val="21"/>
                <w:lang w:val="en-US" w:eastAsia="zh-CN"/>
              </w:rPr>
              <w:t>1.</w:t>
            </w:r>
            <w:r>
              <w:rPr>
                <w:rFonts w:hint="eastAsia" w:ascii="宋体" w:hAnsi="宋体" w:cs="宋体"/>
                <w:sz w:val="21"/>
                <w:szCs w:val="21"/>
                <w:lang w:eastAsia="zh-CN"/>
              </w:rPr>
              <w:t>风险单元要求： 以煤化工企业实际场景为基础，以低温甲醇洗工段、气化工段、变换工段、甲醇精馏工段、甲醇合成工段为5个风险辨识单元。</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210" w:firstLineChars="1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2.单元主要风险 涉及：火灾、爆炸、灼烫、淹溺、机械伤害、中毒、窒息、物体打击、高处坠落、车辆伤害等。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210" w:firstLineChars="10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3.危险源 涉及：破渣机、泵、变换炉、气化炉、预热器、汽提塔、精馏塔、甲醇储罐、循环压缩机、合成反应器等。</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 xml:space="preserve">  隐患范围区域：涉及生产过程中的4个工段及厂区道路等范围。</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210" w:firstLineChars="1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4.隐患类型要求：消防设施、生产设备设施、应急设施、人的日常行为、叉车作业、动火作业、吊装作业、动土作业、断路作业等。</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210" w:firstLineChars="100"/>
              <w:jc w:val="left"/>
              <w:textAlignment w:val="auto"/>
              <w:rPr>
                <w:rFonts w:ascii="宋体" w:hAnsi="宋体" w:cs="宋体"/>
                <w:sz w:val="21"/>
                <w:szCs w:val="21"/>
                <w:lang w:eastAsia="zh-CN"/>
              </w:rPr>
            </w:pPr>
            <w:r>
              <w:rPr>
                <w:rFonts w:hint="eastAsia" w:ascii="宋体" w:hAnsi="宋体" w:cs="宋体"/>
                <w:sz w:val="21"/>
                <w:szCs w:val="21"/>
                <w:lang w:val="en-US" w:eastAsia="zh-CN"/>
              </w:rPr>
              <w:t>隐患点要求：动火作业7个隐患点、吊装作业3个隐患点，断路作业3个隐</w:t>
            </w:r>
            <w:r>
              <w:rPr>
                <w:rFonts w:hint="eastAsia" w:ascii="宋体" w:hAnsi="宋体" w:cs="宋体"/>
                <w:sz w:val="21"/>
                <w:szCs w:val="21"/>
                <w:lang w:eastAsia="zh-CN"/>
              </w:rPr>
              <w:t>患点、叉车作业3个隐患点，消防设施8个隐患点，应急设施1个隐患点，生产设备1个隐患点，防护设施1个隐患点，人的不安全行为3个隐患点。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210" w:firstLineChars="100"/>
              <w:jc w:val="left"/>
              <w:textAlignment w:val="auto"/>
              <w:rPr>
                <w:rFonts w:ascii="宋体" w:hAnsi="宋体" w:cs="宋体"/>
                <w:sz w:val="21"/>
                <w:szCs w:val="21"/>
                <w:lang w:eastAsia="zh-CN"/>
              </w:rPr>
            </w:pPr>
            <w:r>
              <w:rPr>
                <w:rFonts w:hint="eastAsia" w:ascii="宋体" w:hAnsi="宋体" w:cs="宋体"/>
                <w:sz w:val="21"/>
                <w:szCs w:val="21"/>
                <w:lang w:val="en-US" w:eastAsia="zh-CN"/>
              </w:rPr>
              <w:t>5.</w:t>
            </w:r>
            <w:r>
              <w:rPr>
                <w:rFonts w:hint="eastAsia" w:ascii="宋体" w:hAnsi="宋体" w:cs="宋体"/>
                <w:sz w:val="21"/>
                <w:szCs w:val="21"/>
                <w:lang w:eastAsia="zh-CN"/>
              </w:rPr>
              <w:t>标准要求：《中华人民共和国消防法》、《中国建筑灭火器配置设计规范》、《工业企业厂内铁路、道路运输安全规程》、《化学品生产单位特殊作业安全规范》、《机械安全防护装置固定式和活动式防护装置的设计与制造一般要求》、《气体焊接设备　焊接、切割和类似作业用橡胶软管》、《建筑防护栏杆技术标准》、《洗眼器标准》等多部法律、法规及标准。</w:t>
            </w:r>
          </w:p>
          <w:p>
            <w:pPr>
              <w:pStyle w:val="2"/>
              <w:numPr>
                <w:ilvl w:val="0"/>
                <w:numId w:val="0"/>
              </w:numPr>
              <w:spacing w:after="0" w:line="240" w:lineRule="auto"/>
              <w:ind w:firstLine="210" w:firstLineChars="100"/>
              <w:jc w:val="left"/>
              <w:rPr>
                <w:rFonts w:ascii="宋体" w:hAnsi="宋体" w:cs="宋体"/>
                <w:sz w:val="21"/>
                <w:szCs w:val="21"/>
                <w:lang w:eastAsia="zh-CN"/>
              </w:rPr>
            </w:pPr>
            <w:r>
              <w:rPr>
                <w:rFonts w:hint="eastAsia" w:ascii="宋体" w:hAnsi="宋体" w:cs="宋体"/>
                <w:sz w:val="21"/>
                <w:szCs w:val="21"/>
                <w:lang w:val="en-US" w:eastAsia="zh-CN"/>
              </w:rPr>
              <w:t>6.</w:t>
            </w:r>
            <w:r>
              <w:rPr>
                <w:rFonts w:hint="eastAsia" w:ascii="宋体" w:hAnsi="宋体" w:cs="宋体"/>
                <w:sz w:val="21"/>
                <w:szCs w:val="21"/>
                <w:lang w:eastAsia="zh-CN"/>
              </w:rPr>
              <w:t>投标人需在投标文件中提供风险单元选择、风险辨识、风险管控要点、隐患排查的场景设置信息、任务脚本、3D场景截图等。</w:t>
            </w:r>
          </w:p>
          <w:p>
            <w:pPr>
              <w:pStyle w:val="2"/>
              <w:numPr>
                <w:ilvl w:val="0"/>
                <w:numId w:val="0"/>
              </w:numPr>
              <w:spacing w:after="0" w:line="240" w:lineRule="auto"/>
              <w:ind w:firstLine="210" w:firstLineChars="100"/>
              <w:jc w:val="left"/>
              <w:rPr>
                <w:rFonts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投标人需提供化工安全风险识别系统仿真软件计算机著作权登记证书</w:t>
            </w:r>
            <w:r>
              <w:rPr>
                <w:rFonts w:hint="eastAsia" w:ascii="宋体" w:hAnsi="宋体" w:cs="宋体"/>
                <w:sz w:val="21"/>
                <w:szCs w:val="21"/>
                <w:lang w:val="en-US" w:eastAsia="zh-CN"/>
              </w:rPr>
              <w:t>扫描件</w:t>
            </w: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526" w:type="dxa"/>
            <w:vAlign w:val="center"/>
          </w:tcPr>
          <w:p>
            <w:pPr>
              <w:pStyle w:val="31"/>
              <w:spacing w:line="300" w:lineRule="auto"/>
              <w:ind w:left="7"/>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4</w:t>
            </w:r>
          </w:p>
        </w:tc>
        <w:tc>
          <w:tcPr>
            <w:tcW w:w="1105" w:type="dxa"/>
            <w:vAlign w:val="center"/>
          </w:tcPr>
          <w:p>
            <w:pPr>
              <w:pStyle w:val="32"/>
              <w:jc w:val="center"/>
              <w:rPr>
                <w:rFonts w:ascii="宋体" w:hAnsi="宋体" w:cs="宋体"/>
                <w:color w:val="auto"/>
                <w:kern w:val="0"/>
                <w:szCs w:val="21"/>
              </w:rPr>
            </w:pPr>
            <w:r>
              <w:rPr>
                <w:rFonts w:hint="eastAsia" w:ascii="宋体" w:hAnsi="宋体" w:cs="宋体"/>
                <w:color w:val="auto"/>
                <w:szCs w:val="21"/>
              </w:rPr>
              <w:t>典型化工厂3D虚拟现实生产实习仿真软件</w:t>
            </w:r>
          </w:p>
        </w:tc>
        <w:tc>
          <w:tcPr>
            <w:tcW w:w="7168" w:type="dxa"/>
            <w:vAlign w:val="center"/>
          </w:tcPr>
          <w:p>
            <w:pPr>
              <w:spacing w:line="240" w:lineRule="auto"/>
              <w:rPr>
                <w:rFonts w:ascii="宋体" w:hAnsi="宋体" w:cs="宋体"/>
                <w:szCs w:val="21"/>
              </w:rPr>
            </w:pPr>
            <w:bookmarkStart w:id="5" w:name="_Toc27525"/>
            <w:r>
              <w:rPr>
                <w:rFonts w:hint="eastAsia" w:ascii="宋体" w:hAnsi="宋体" w:cs="宋体"/>
                <w:szCs w:val="21"/>
              </w:rPr>
              <w:t>典型化工厂3D虚拟现实生产实习仿真软件（PX）</w:t>
            </w:r>
            <w:bookmarkEnd w:id="5"/>
          </w:p>
          <w:p>
            <w:pPr>
              <w:numPr>
                <w:ilvl w:val="0"/>
                <w:numId w:val="0"/>
              </w:numPr>
              <w:spacing w:line="240" w:lineRule="auto"/>
              <w:ind w:leftChars="0" w:firstLine="240" w:firstLineChars="100"/>
              <w:rPr>
                <w:rFonts w:ascii="宋体" w:hAnsi="宋体" w:cs="宋体"/>
                <w:szCs w:val="21"/>
              </w:rPr>
            </w:pPr>
            <w:r>
              <w:rPr>
                <w:rFonts w:hint="eastAsia" w:ascii="宋体" w:hAnsi="宋体" w:cs="宋体"/>
                <w:color w:val="000000"/>
                <w:sz w:val="24"/>
                <w:lang w:val="en-US" w:eastAsia="zh-CN"/>
              </w:rPr>
              <w:t>1.</w:t>
            </w:r>
            <w:r>
              <w:rPr>
                <w:rFonts w:hint="eastAsia" w:ascii="宋体" w:hAnsi="宋体" w:cs="宋体"/>
                <w:szCs w:val="21"/>
              </w:rPr>
              <w:t>要求软件部署在学校原有的在线系统平台上。</w:t>
            </w:r>
          </w:p>
          <w:p>
            <w:pPr>
              <w:numPr>
                <w:ilvl w:val="0"/>
                <w:numId w:val="0"/>
              </w:numPr>
              <w:spacing w:line="240" w:lineRule="auto"/>
              <w:ind w:leftChars="0" w:firstLine="210" w:firstLineChars="1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该产品要求软控制授权，授权期间为：永久授权，授权点位数：200点位。</w:t>
            </w:r>
          </w:p>
          <w:p>
            <w:pPr>
              <w:numPr>
                <w:ilvl w:val="0"/>
                <w:numId w:val="0"/>
              </w:numPr>
              <w:spacing w:line="240" w:lineRule="auto"/>
              <w:ind w:firstLine="210" w:firstLineChars="1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总体技术和功能要求</w:t>
            </w:r>
          </w:p>
          <w:p>
            <w:pPr>
              <w:spacing w:line="240" w:lineRule="auto"/>
              <w:ind w:firstLine="200"/>
              <w:rPr>
                <w:rFonts w:ascii="宋体" w:hAnsi="宋体" w:cs="宋体"/>
                <w:szCs w:val="21"/>
              </w:rPr>
            </w:pPr>
            <w:r>
              <w:rPr>
                <w:rFonts w:hint="eastAsia" w:ascii="宋体" w:hAnsi="宋体" w:cs="宋体"/>
                <w:szCs w:val="21"/>
              </w:rPr>
              <w:t>采用机理建模模拟对二甲苯(PX)制备工艺过程，通过2D界面模仿内操作工DCS操作界面，采用3D界面模仿外操作工现场操作界面；</w:t>
            </w:r>
          </w:p>
          <w:p>
            <w:pPr>
              <w:spacing w:line="240" w:lineRule="auto"/>
              <w:ind w:firstLine="200"/>
              <w:rPr>
                <w:rFonts w:ascii="宋体" w:hAnsi="宋体" w:cs="宋体"/>
                <w:szCs w:val="21"/>
              </w:rPr>
            </w:pPr>
            <w:r>
              <w:rPr>
                <w:rFonts w:hint="eastAsia" w:ascii="宋体" w:hAnsi="宋体" w:cs="宋体"/>
                <w:szCs w:val="21"/>
              </w:rPr>
              <w:t>1）2D内操界面和3D外操界面支持“一台电脑双屏显示”操作，或通过“一键切换”功能完成2D内操界面和3D外操界面的切换；</w:t>
            </w:r>
          </w:p>
          <w:p>
            <w:pPr>
              <w:spacing w:line="240" w:lineRule="auto"/>
              <w:ind w:firstLine="200"/>
              <w:rPr>
                <w:rFonts w:ascii="宋体" w:hAnsi="宋体" w:cs="宋体"/>
                <w:szCs w:val="21"/>
              </w:rPr>
            </w:pPr>
            <w:r>
              <w:rPr>
                <w:rFonts w:hint="eastAsia" w:ascii="宋体" w:hAnsi="宋体" w:cs="宋体"/>
                <w:szCs w:val="21"/>
              </w:rPr>
              <w:t>3D 虚拟场景逼真，需取自真实煤化工各工段生产场景；</w:t>
            </w:r>
          </w:p>
          <w:p>
            <w:pPr>
              <w:spacing w:line="240" w:lineRule="auto"/>
              <w:ind w:firstLine="200"/>
              <w:rPr>
                <w:rFonts w:ascii="宋体" w:hAnsi="宋体" w:cs="宋体"/>
                <w:szCs w:val="21"/>
              </w:rPr>
            </w:pPr>
            <w:r>
              <w:rPr>
                <w:rFonts w:hint="eastAsia" w:ascii="宋体" w:hAnsi="宋体" w:cs="宋体"/>
                <w:szCs w:val="21"/>
              </w:rPr>
              <w:t>培训者可以根据自己的需要选择不同岗位进行培训，如值班长、内操作工、外操作工等；</w:t>
            </w:r>
          </w:p>
          <w:p>
            <w:pPr>
              <w:spacing w:line="240" w:lineRule="auto"/>
              <w:ind w:firstLine="200"/>
              <w:rPr>
                <w:rFonts w:ascii="宋体" w:hAnsi="宋体" w:cs="宋体"/>
                <w:szCs w:val="21"/>
              </w:rPr>
            </w:pPr>
            <w:r>
              <w:rPr>
                <w:rFonts w:hint="eastAsia" w:ascii="宋体" w:hAnsi="宋体" w:cs="宋体"/>
                <w:szCs w:val="21"/>
              </w:rPr>
              <w:t>培训者进行开、停车，正常生产和典型事故处理的操作；</w:t>
            </w:r>
          </w:p>
          <w:p>
            <w:pPr>
              <w:spacing w:line="240" w:lineRule="auto"/>
              <w:ind w:firstLine="200"/>
              <w:rPr>
                <w:rFonts w:ascii="宋体" w:hAnsi="宋体" w:cs="宋体"/>
                <w:szCs w:val="21"/>
              </w:rPr>
            </w:pPr>
            <w:r>
              <w:rPr>
                <w:rFonts w:hint="eastAsia" w:ascii="宋体" w:hAnsi="宋体" w:cs="宋体"/>
                <w:szCs w:val="21"/>
              </w:rPr>
              <w:t>学员进行仿真操作练习，具备两种模式：练习、考核。学员可根据智能操作指导单独练习操作并对自己操作的成绩进行实时考核，并能重新选择初始条件；</w:t>
            </w:r>
          </w:p>
          <w:p>
            <w:pPr>
              <w:spacing w:line="240" w:lineRule="auto"/>
              <w:ind w:firstLine="200"/>
              <w:rPr>
                <w:rFonts w:ascii="宋体" w:hAnsi="宋体" w:cs="宋体"/>
                <w:szCs w:val="21"/>
              </w:rPr>
            </w:pPr>
            <w:r>
              <w:rPr>
                <w:rFonts w:hint="eastAsia" w:ascii="宋体" w:hAnsi="宋体" w:cs="宋体"/>
                <w:szCs w:val="21"/>
              </w:rPr>
              <w:t>2）考核步骤评分及提示，采用全图形化任务流程图和文字列表两种方式展示，该任务流程图为树状结构，分为串行和并行两种任务流程。流程图（树状结构）及文字列表均可以进行编辑（不可只采用列表方式）；</w:t>
            </w:r>
          </w:p>
          <w:p>
            <w:pPr>
              <w:spacing w:line="240" w:lineRule="auto"/>
              <w:ind w:firstLine="200"/>
              <w:rPr>
                <w:rFonts w:ascii="宋体" w:hAnsi="宋体" w:cs="宋体"/>
                <w:szCs w:val="21"/>
              </w:rPr>
            </w:pPr>
            <w:r>
              <w:rPr>
                <w:rFonts w:hint="eastAsia" w:ascii="宋体" w:hAnsi="宋体" w:cs="宋体"/>
                <w:szCs w:val="21"/>
              </w:rPr>
              <w:t>2D仿DCS 系统：模仿相关工艺真实 DCS 控制系统的主要界面，包括总貌画面、各流程图画面、控制组、趋势组、报警、细目、变量监控、各种操作仪表及弹出子画面，操作方式和控制方案完全相同。</w:t>
            </w:r>
          </w:p>
          <w:p>
            <w:pPr>
              <w:spacing w:line="240" w:lineRule="auto"/>
              <w:ind w:firstLine="200"/>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三维及虚拟现实模型技术要求</w:t>
            </w:r>
          </w:p>
          <w:p>
            <w:pPr>
              <w:spacing w:line="240" w:lineRule="auto"/>
              <w:ind w:firstLine="200"/>
              <w:rPr>
                <w:rFonts w:ascii="宋体" w:hAnsi="宋体" w:cs="宋体"/>
                <w:szCs w:val="21"/>
              </w:rPr>
            </w:pPr>
            <w:r>
              <w:rPr>
                <w:rFonts w:hint="eastAsia" w:ascii="宋体" w:hAnsi="宋体" w:cs="宋体"/>
                <w:szCs w:val="21"/>
              </w:rPr>
              <w:t>三维虚拟装置模型按照各实际装置的生产设备、管线、仪表和安全设施等布局现状为基准进行1 ：1定制开发；</w:t>
            </w:r>
          </w:p>
          <w:p>
            <w:pPr>
              <w:spacing w:line="240" w:lineRule="auto"/>
              <w:ind w:firstLine="200"/>
              <w:rPr>
                <w:rFonts w:ascii="宋体" w:hAnsi="宋体" w:cs="宋体"/>
                <w:szCs w:val="21"/>
              </w:rPr>
            </w:pPr>
            <w:r>
              <w:rPr>
                <w:rFonts w:hint="eastAsia" w:ascii="宋体" w:hAnsi="宋体" w:cs="宋体"/>
                <w:szCs w:val="21"/>
              </w:rPr>
              <w:t>三维虚拟装置模型中的所有设备、设施在外形、尺寸、颜色、位置、材质、管线及连接关系、状态变化等方面的表现均与实际装置一致；</w:t>
            </w:r>
          </w:p>
          <w:p>
            <w:pPr>
              <w:spacing w:line="240" w:lineRule="auto"/>
              <w:ind w:firstLine="200"/>
              <w:rPr>
                <w:rFonts w:ascii="宋体" w:hAnsi="宋体" w:cs="宋体"/>
                <w:szCs w:val="21"/>
              </w:rPr>
            </w:pPr>
            <w:r>
              <w:rPr>
                <w:rFonts w:hint="eastAsia" w:ascii="宋体" w:hAnsi="宋体" w:cs="宋体"/>
                <w:szCs w:val="21"/>
              </w:rPr>
              <w:t>学员扮演角色可在虚拟环境中实现自主操控、按任意路径漫游，仿真度高。3D虚拟仿真现实仿真软件需要受训人员控制虚拟人物在设备区进行漫游操作，用户通过键盘和鼠标从而控制虚拟任务的体态动作，完成向前、向后、向左、向右行走、转向、原地站立、跳跃、奔跑上楼梯、爬垂直爬梯、拾取工具、阀门操作、设备操作等功能。</w:t>
            </w:r>
          </w:p>
          <w:p>
            <w:pPr>
              <w:spacing w:line="240" w:lineRule="auto"/>
              <w:ind w:firstLine="200"/>
              <w:rPr>
                <w:rFonts w:ascii="宋体" w:hAnsi="宋体" w:cs="宋体"/>
                <w:szCs w:val="21"/>
              </w:rPr>
            </w:pPr>
            <w:r>
              <w:rPr>
                <w:rFonts w:hint="eastAsia" w:ascii="宋体" w:hAnsi="宋体" w:cs="宋体"/>
                <w:szCs w:val="21"/>
              </w:rPr>
              <w:t>3D虚拟仿真现实仿真软件支持高效、高精度碰撞检测算法，能够正确的处理碰撞后沿墙面滑动（而不是停止），楼梯的自动攀爬，对镂空形体（如栏杆）以及非凸多面体的精确碰撞，以及正确的处理多物体碰撞后过约束的情况。还可以实现碰撞面的单向通过，隐形墙以限制主角的活动范围功能。</w:t>
            </w:r>
          </w:p>
          <w:p>
            <w:pPr>
              <w:spacing w:line="240" w:lineRule="auto"/>
              <w:ind w:firstLine="200"/>
              <w:rPr>
                <w:rFonts w:ascii="宋体" w:hAnsi="宋体" w:cs="宋体"/>
                <w:szCs w:val="21"/>
              </w:rPr>
            </w:pPr>
            <w:r>
              <w:rPr>
                <w:rFonts w:hint="eastAsia" w:ascii="宋体" w:hAnsi="宋体" w:cs="宋体"/>
                <w:szCs w:val="21"/>
              </w:rPr>
              <w:t>软件需设计有工具栏，包含地图、人物角色的选择、工具箱、对讲机功能、对话功能、自主输入对话内容功能、消息功能按钮等。</w:t>
            </w:r>
          </w:p>
          <w:p>
            <w:pPr>
              <w:spacing w:line="240" w:lineRule="auto"/>
              <w:ind w:firstLine="200"/>
              <w:rPr>
                <w:rFonts w:ascii="宋体" w:hAnsi="宋体" w:cs="宋体"/>
                <w:szCs w:val="21"/>
              </w:rPr>
            </w:pPr>
            <w:r>
              <w:rPr>
                <w:rFonts w:hint="eastAsia" w:ascii="宋体" w:hAnsi="宋体" w:cs="宋体"/>
                <w:szCs w:val="21"/>
              </w:rPr>
              <w:t xml:space="preserve"> 1）需具有细节展现功能：可以调出全厂地图，包含用户操作场景名、虚拟人物的位置信息，并且以当前人物为中心，显示出对应场景的整体地图。</w:t>
            </w:r>
          </w:p>
          <w:p>
            <w:pPr>
              <w:spacing w:line="240" w:lineRule="auto"/>
              <w:ind w:firstLine="200"/>
              <w:rPr>
                <w:rFonts w:ascii="宋体" w:hAnsi="宋体" w:cs="宋体"/>
                <w:szCs w:val="21"/>
              </w:rPr>
            </w:pPr>
            <w:r>
              <w:rPr>
                <w:rFonts w:hint="eastAsia" w:ascii="宋体" w:hAnsi="宋体" w:cs="宋体"/>
                <w:szCs w:val="21"/>
              </w:rPr>
              <w:t>2）在设备操作时，系统能有放大特效展示，该三维设备会以特写方式进行展示，为突出该操作设备，周围环境（建筑物、设备、人物）以半透明的方式进行淡化处理，该操作设备会以特写方式进行展示，表头数字示数、表盘指针位置、阀门阀杆长度都要与该仪表的示数值一致。</w:t>
            </w:r>
          </w:p>
          <w:p>
            <w:pPr>
              <w:spacing w:line="240" w:lineRule="auto"/>
              <w:ind w:firstLine="200"/>
              <w:rPr>
                <w:rFonts w:ascii="宋体" w:hAnsi="宋体" w:cs="宋体"/>
                <w:szCs w:val="21"/>
              </w:rPr>
            </w:pPr>
            <w:r>
              <w:rPr>
                <w:rFonts w:hint="eastAsia" w:ascii="宋体" w:hAnsi="宋体" w:cs="宋体"/>
                <w:szCs w:val="21"/>
              </w:rPr>
              <w:t>3）搜索功能，在搜索框中输入设备位号后，在3D场景及地图中分别出现目标标识，标记出该设备的位置，方便帮助用户控制虚拟人物快速查找设备位置。可支持三个设备位置同时标记；</w:t>
            </w:r>
          </w:p>
          <w:p>
            <w:pPr>
              <w:spacing w:line="240" w:lineRule="auto"/>
              <w:ind w:firstLine="200"/>
              <w:rPr>
                <w:rFonts w:ascii="宋体" w:hAnsi="宋体" w:cs="宋体"/>
                <w:szCs w:val="21"/>
              </w:rPr>
            </w:pPr>
            <w:r>
              <w:rPr>
                <w:rFonts w:hint="eastAsia" w:ascii="宋体" w:hAnsi="宋体" w:cs="宋体"/>
                <w:szCs w:val="21"/>
              </w:rPr>
              <w:t>4）瞬移功能，为节省时间，可配合搜索功能，用户能够控制虚拟人物瞬间移动到所搜索的设备附件，无需控制虚拟人物在场景中行走过去（需投标现场演示）。</w:t>
            </w:r>
          </w:p>
          <w:p>
            <w:pPr>
              <w:spacing w:line="240" w:lineRule="auto"/>
              <w:ind w:firstLine="200"/>
              <w:rPr>
                <w:rFonts w:ascii="宋体" w:hAnsi="宋体" w:cs="宋体"/>
                <w:szCs w:val="21"/>
              </w:rPr>
            </w:pPr>
            <w:r>
              <w:rPr>
                <w:rFonts w:hint="eastAsia" w:ascii="宋体" w:hAnsi="宋体" w:cs="宋体"/>
                <w:szCs w:val="21"/>
              </w:rPr>
              <w:t>5）测距功能，配合搜索功能，以“米”为单位，显示虚拟人物与目标设备的距离。</w:t>
            </w:r>
          </w:p>
          <w:p>
            <w:pPr>
              <w:spacing w:line="240" w:lineRule="auto"/>
              <w:ind w:firstLine="200"/>
              <w:rPr>
                <w:rFonts w:ascii="宋体" w:hAnsi="宋体" w:cs="宋体"/>
                <w:szCs w:val="21"/>
              </w:rPr>
            </w:pPr>
            <w:r>
              <w:rPr>
                <w:rFonts w:hint="eastAsia" w:ascii="宋体" w:hAnsi="宋体" w:cs="宋体"/>
                <w:szCs w:val="21"/>
              </w:rPr>
              <w:t>6）寻路功能，配合搜索功能，当搜索某设备位号后，在虚拟人物的脚下会出现蓝色高亮的箭头，箭头方向即为指向目标设备的方向。</w:t>
            </w:r>
          </w:p>
          <w:p>
            <w:pPr>
              <w:spacing w:line="240" w:lineRule="auto"/>
              <w:ind w:firstLine="200"/>
              <w:rPr>
                <w:rFonts w:ascii="宋体" w:hAnsi="宋体" w:cs="宋体"/>
                <w:szCs w:val="21"/>
              </w:rPr>
            </w:pPr>
            <w:r>
              <w:rPr>
                <w:rFonts w:hint="eastAsia" w:ascii="宋体" w:hAnsi="宋体" w:cs="宋体"/>
                <w:szCs w:val="21"/>
              </w:rPr>
              <w:t>7）地图功能，能用热键呼出地图，地图中包含用户操作场景名、虚拟人物的位置信息，并且以当前人物为中心，显示出对应场景的整体地图。</w:t>
            </w:r>
          </w:p>
          <w:p>
            <w:pPr>
              <w:spacing w:line="240" w:lineRule="auto"/>
              <w:ind w:firstLine="200"/>
              <w:rPr>
                <w:rFonts w:ascii="宋体" w:hAnsi="宋体" w:cs="宋体"/>
                <w:szCs w:val="21"/>
              </w:rPr>
            </w:pPr>
            <w:r>
              <w:rPr>
                <w:rFonts w:hint="eastAsia" w:ascii="宋体" w:hAnsi="宋体" w:cs="宋体"/>
                <w:szCs w:val="21"/>
              </w:rPr>
              <w:t>8）考核步骤提示采用全图形化业务流程图和列表两种方式展示。</w:t>
            </w:r>
          </w:p>
          <w:p>
            <w:pPr>
              <w:spacing w:line="240" w:lineRule="auto"/>
              <w:ind w:firstLine="200"/>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交互方式要求</w:t>
            </w:r>
          </w:p>
          <w:p>
            <w:pPr>
              <w:spacing w:line="240" w:lineRule="auto"/>
              <w:ind w:firstLine="200"/>
              <w:rPr>
                <w:rFonts w:ascii="宋体" w:hAnsi="宋体" w:cs="宋体"/>
                <w:szCs w:val="21"/>
              </w:rPr>
            </w:pPr>
            <w:r>
              <w:rPr>
                <w:rFonts w:hint="eastAsia" w:ascii="宋体" w:hAnsi="宋体" w:cs="宋体"/>
                <w:szCs w:val="21"/>
              </w:rPr>
              <w:t>应采用FPS游戏类的操作模式，即每个使用者都通过三维虚拟现实控制技术虚拟人物的走、跑和操作各种设备来完成开车、停车、事故处理、应急演练等各种规定的过程操作，并且使用者可任意自行切换视角模式（第一视角或第三视角）。</w:t>
            </w:r>
          </w:p>
          <w:p>
            <w:pPr>
              <w:spacing w:line="240" w:lineRule="auto"/>
              <w:ind w:firstLine="200"/>
              <w:rPr>
                <w:rFonts w:ascii="宋体" w:hAnsi="宋体" w:cs="宋体"/>
                <w:szCs w:val="21"/>
              </w:rPr>
            </w:pPr>
            <w:r>
              <w:rPr>
                <w:rFonts w:hint="eastAsia" w:ascii="宋体" w:hAnsi="宋体" w:cs="宋体"/>
                <w:szCs w:val="21"/>
              </w:rPr>
              <w:t>三维交互操作模型应能实现与工艺系统仿真模型、控制系统仿真模型、操作指导评价模型之间的实时交互通讯和现象反馈。</w:t>
            </w:r>
          </w:p>
          <w:p>
            <w:pPr>
              <w:numPr>
                <w:ilvl w:val="0"/>
                <w:numId w:val="0"/>
              </w:numPr>
              <w:spacing w:line="240" w:lineRule="auto"/>
              <w:ind w:firstLine="210" w:firstLineChars="1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工艺内容要求</w:t>
            </w:r>
          </w:p>
          <w:p>
            <w:pPr>
              <w:spacing w:line="240" w:lineRule="auto"/>
              <w:rPr>
                <w:rFonts w:ascii="宋体" w:hAnsi="宋体" w:cs="宋体"/>
                <w:szCs w:val="21"/>
              </w:rPr>
            </w:pPr>
            <w:r>
              <w:rPr>
                <w:rFonts w:hint="eastAsia" w:ascii="宋体" w:hAnsi="宋体" w:cs="宋体"/>
                <w:szCs w:val="21"/>
              </w:rPr>
              <w:t>该软件总共包括三套工艺，分别为二甲苯、歧化、吸附，每套工艺说明、工艺指标、操作规程（包括开车、停车、故障规程）</w:t>
            </w:r>
          </w:p>
          <w:tbl>
            <w:tblPr>
              <w:tblStyle w:val="17"/>
              <w:tblpPr w:leftFromText="180" w:rightFromText="180" w:vertAnchor="text" w:horzAnchor="page" w:tblpXSpec="center" w:tblpY="515"/>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3"/>
              <w:gridCol w:w="56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6" w:hRule="atLeast"/>
                <w:jc w:val="center"/>
              </w:trPr>
              <w:tc>
                <w:tcPr>
                  <w:tcW w:w="833" w:type="dxa"/>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r>
                    <w:rPr>
                      <w:rFonts w:hint="eastAsia" w:ascii="宋体" w:hAnsi="宋体" w:cs="宋体"/>
                      <w:sz w:val="21"/>
                      <w:szCs w:val="21"/>
                    </w:rPr>
                    <w:t>工段</w:t>
                  </w:r>
                </w:p>
                <w:p>
                  <w:pPr>
                    <w:pStyle w:val="34"/>
                    <w:rPr>
                      <w:rFonts w:ascii="宋体" w:hAnsi="宋体" w:cs="宋体"/>
                      <w:sz w:val="21"/>
                      <w:szCs w:val="21"/>
                    </w:rPr>
                  </w:pPr>
                  <w:r>
                    <w:rPr>
                      <w:rFonts w:hint="eastAsia" w:ascii="宋体" w:hAnsi="宋体" w:cs="宋体"/>
                      <w:sz w:val="21"/>
                      <w:szCs w:val="21"/>
                    </w:rPr>
                    <w:t>名称</w:t>
                  </w:r>
                </w:p>
              </w:tc>
              <w:tc>
                <w:tcPr>
                  <w:tcW w:w="5607" w:type="dxa"/>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r>
                    <w:rPr>
                      <w:rFonts w:hint="eastAsia" w:ascii="宋体" w:hAnsi="宋体" w:cs="宋体"/>
                      <w:sz w:val="21"/>
                      <w:szCs w:val="21"/>
                    </w:rPr>
                    <w:t>工艺单元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trPr>
              <w:tc>
                <w:tcPr>
                  <w:tcW w:w="833" w:type="dxa"/>
                  <w:vMerge w:val="restart"/>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r>
                    <w:rPr>
                      <w:rFonts w:hint="eastAsia" w:ascii="宋体" w:hAnsi="宋体" w:cs="宋体"/>
                      <w:sz w:val="21"/>
                      <w:szCs w:val="21"/>
                    </w:rPr>
                    <w:t>二甲苯分馏部分</w:t>
                  </w:r>
                </w:p>
              </w:tc>
              <w:tc>
                <w:tcPr>
                  <w:tcW w:w="5607" w:type="dxa"/>
                  <w:tcBorders>
                    <w:tl2br w:val="nil"/>
                    <w:tr2bl w:val="nil"/>
                  </w:tcBorders>
                  <w:shd w:val="clear" w:color="auto" w:fill="D9D9D9"/>
                  <w:tcMar>
                    <w:top w:w="15" w:type="dxa"/>
                    <w:left w:w="15" w:type="dxa"/>
                    <w:right w:w="15" w:type="dxa"/>
                  </w:tcMar>
                  <w:vAlign w:val="center"/>
                </w:tcPr>
                <w:p>
                  <w:pPr>
                    <w:pStyle w:val="34"/>
                    <w:rPr>
                      <w:rFonts w:ascii="宋体" w:hAnsi="宋体" w:cs="宋体"/>
                      <w:sz w:val="21"/>
                      <w:szCs w:val="21"/>
                    </w:rPr>
                  </w:pPr>
                  <w:r>
                    <w:rPr>
                      <w:rFonts w:hint="eastAsia" w:ascii="宋体" w:hAnsi="宋体" w:cs="宋体"/>
                      <w:sz w:val="21"/>
                      <w:szCs w:val="21"/>
                    </w:rPr>
                    <w:t>重整油分离塔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0"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自重整装置来的进料在重整油塔进料换热器 (111-E-402)与塔底油换热后进入重整油塔，塔顶气经重整油塔顶空冷器（ 111-A-401）冷凝冷却后进入重整油塔回流罐（ 111-D-401 ）；一部分打回流，另一部分 C6-C7 馏分经重整油塔顶产品后冷器（111-E-406）冷却后在液位流量串级控制下送至抽提蒸馏单元。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8"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重整油塔（111-C-401）热源来自三个重沸器：重整油塔蒸汽重沸器（111-E-403）、重整油塔底/二甲苯塔顶重沸器（111-E-404）、重整油塔底/二甲苯再蒸馏塔顶重沸器（111-E-408）。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重整油塔底物经重整油塔底泵（ 111-P-402）先通过重整油塔进料 /塔底换热器（111-E-402）和二甲苯白土塔加热器（111-E-405），之后去白土处理器（111-R-401）；通过 111-E-405 壳侧流量控制调节白土处理器入口温度。经白土处理后脱除稀烃并的在流量控制下并与二甲苯再蒸馏塔塔底在二甲苯再蒸馏塔进料/塔底换热器（111-E-407）中换热后进入二甲苯再蒸馏塔（111-C-402）。来自二甲苯异构化部分的脱庚烷塔物的75％在二甲苯再蒸馏塔重沸炉（111-F-401）的对流段加热后。作为二甲苯再蒸馏塔的另一股进料被送至二甲苯再蒸馏塔，其余的 25%送至二甲苯塔（111-C-403）。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D9D9D9"/>
                  <w:tcMar>
                    <w:top w:w="15" w:type="dxa"/>
                    <w:left w:w="15" w:type="dxa"/>
                    <w:right w:w="15" w:type="dxa"/>
                  </w:tcMar>
                  <w:vAlign w:val="center"/>
                </w:tcPr>
                <w:p>
                  <w:pPr>
                    <w:pStyle w:val="34"/>
                    <w:rPr>
                      <w:rFonts w:ascii="宋体" w:hAnsi="宋体" w:cs="宋体"/>
                      <w:sz w:val="21"/>
                      <w:szCs w:val="21"/>
                    </w:rPr>
                  </w:pPr>
                  <w:r>
                    <w:rPr>
                      <w:rFonts w:hint="eastAsia" w:ascii="宋体" w:hAnsi="宋体" w:cs="宋体"/>
                      <w:sz w:val="21"/>
                      <w:szCs w:val="21"/>
                    </w:rPr>
                    <w:t>二甲苯再蒸馏塔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8"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二甲苯再蒸馏塔采用加压操作，一部分塔顶气体在压力控制下被送至重整油重沸器（111-E-408）作热源，另两部分分别为抽出液塔重沸器（111-E-603）和抽余液塔重沸器（111-E-610A/B/C）热源。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4"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二甲苯再蒸馏塔压力通过控制去二甲苯再蒸馏塔顶空冷器（111-A-405）流量控制。来自空冷器 111-A-405、111-E-603 、111-E-610 A/B/C 的流股被送至二甲苯再蒸馏塔回流罐 111-D-402。通过过压差控制，在二甲苯再蒸馏塔和其回流罐之间的热气体差压旁路保持回流罐的压力。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6"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塔顶馏出物 C8 馏分通过二甲苯再蒸馏塔塔顶产品泵（111-P-409）在液位/流量串级控制下送至吸附分离部分。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6"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塔重沸器热源由二甲苯再蒸馏塔重沸炉 111-F-401 提供，塔温由重沸炉给热量控制。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塔底物流过二甲苯再蒸馏塔重沸炉泵（111-P-403 ）升压后，少部分分别作为吸附分离部分解吸剂再蒸馏塔热源。然后分别返回至塔底。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6"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二甲苯再蒸馏塔塔底物在液位/流量控制下，先通过二甲苯再蒸馏塔进料/塔底换热器（111-E-407A/B），然后被送至歧化部分。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D9D9D9"/>
                  <w:tcMar>
                    <w:top w:w="15" w:type="dxa"/>
                    <w:left w:w="15" w:type="dxa"/>
                    <w:right w:w="15" w:type="dxa"/>
                  </w:tcMar>
                  <w:vAlign w:val="center"/>
                </w:tcPr>
                <w:p>
                  <w:pPr>
                    <w:pStyle w:val="34"/>
                    <w:rPr>
                      <w:rFonts w:ascii="宋体" w:hAnsi="宋体" w:cs="宋体"/>
                      <w:sz w:val="21"/>
                      <w:szCs w:val="21"/>
                    </w:rPr>
                  </w:pPr>
                  <w:r>
                    <w:rPr>
                      <w:rFonts w:hint="eastAsia" w:ascii="宋体" w:hAnsi="宋体" w:cs="宋体"/>
                      <w:sz w:val="21"/>
                      <w:szCs w:val="21"/>
                    </w:rPr>
                    <w:t>二甲苯塔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7"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来自歧化部分甲苯塔（111-C-502）塔底的混合二甲苯在液位流量串级控制下被直接送至二甲苯塔（111-C-403）作为进料。来自二甲苯异构化部分 25%脱庚烷塔塔底物在流量控制下在二甲苯塔重沸炉（111-F-402）对流室加热之后作为另一股进料被送至二甲苯塔（ 111-C-403 ）；塔顶气一部分在压力控制下被送至重整油塔重沸器（111-E-404）。其余部分在流量控制下被送至邻二甲苯塔重沸器（111-E-409）、抽出液塔重沸器（ 111-E-602）和抽余液塔重沸器（ 111-E-610 D ）做热源。来自重沸器 111-E-404 、 111-E-409 、 111-E-602 、 111-E-610 D 的物流被送至二甲苯塔回流罐（111-D-402）。通过压差控制，在二甲苯再蒸馏塔和其回流罐之间的热气体旁路调节回流罐的压力。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回流罐液体馏出物通过二甲苯塔塔顶产品泵 111-P-410 A/B 和二甲苯再蒸馏塔（111-C-402）顶液体馏出物混合，然后在液位/流量控制下送至吸附分离部分。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 xml:space="preserve">该塔底采用二甲苯塔重沸炉（111-F-402）加热，塔底温度由重沸炉给热量控制，塔底物在液位/流量控制下被送至邻二甲苯塔（111-C-404）。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D9D9D9"/>
                  <w:tcMar>
                    <w:top w:w="15" w:type="dxa"/>
                    <w:left w:w="15" w:type="dxa"/>
                    <w:right w:w="15" w:type="dxa"/>
                  </w:tcMar>
                  <w:vAlign w:val="center"/>
                </w:tcPr>
                <w:p>
                  <w:pPr>
                    <w:pStyle w:val="34"/>
                    <w:rPr>
                      <w:rFonts w:ascii="宋体" w:hAnsi="宋体" w:cs="宋体"/>
                      <w:sz w:val="21"/>
                      <w:szCs w:val="21"/>
                    </w:rPr>
                  </w:pPr>
                  <w:r>
                    <w:rPr>
                      <w:rFonts w:hint="eastAsia" w:ascii="宋体" w:hAnsi="宋体" w:cs="宋体"/>
                      <w:sz w:val="21"/>
                      <w:szCs w:val="21"/>
                    </w:rPr>
                    <w:t>邻二甲苯塔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8"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邻二甲苯塔塔顶物在空冷器（ 111-A-403）冷凝冷却之后进入邻二甲苯塔回流罐（111-D-404）。液体一部分作为回流返塔，另一部分作为邻二甲苯产品进入邻二甲苯塔塔顶空冷器（111-A-404）冷却后，在液位流量控制下被送至储罐。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邻二甲苯塔重沸器热源在温度/流量控制下由邻二甲苯塔重沸器（111-E-409） 提供。塔底产品通过二甲苯塔塔底泵（111-P-407）被送至歧化部分 C9/C10 芳烃分离塔。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0" w:hRule="atLeast"/>
                <w:jc w:val="center"/>
              </w:trPr>
              <w:tc>
                <w:tcPr>
                  <w:tcW w:w="833" w:type="dxa"/>
                  <w:vMerge w:val="continue"/>
                  <w:tcBorders>
                    <w:tl2br w:val="nil"/>
                    <w:tr2bl w:val="nil"/>
                  </w:tcBorders>
                  <w:shd w:val="clear" w:color="auto" w:fill="FFFFFF"/>
                  <w:tcMar>
                    <w:top w:w="15" w:type="dxa"/>
                    <w:left w:w="15" w:type="dxa"/>
                    <w:right w:w="15" w:type="dxa"/>
                  </w:tcMar>
                  <w:vAlign w:val="center"/>
                </w:tcPr>
                <w:p>
                  <w:pPr>
                    <w:pStyle w:val="34"/>
                    <w:rPr>
                      <w:rFonts w:ascii="宋体" w:hAnsi="宋体" w:cs="宋体"/>
                      <w:sz w:val="21"/>
                      <w:szCs w:val="21"/>
                    </w:rPr>
                  </w:pPr>
                </w:p>
              </w:tc>
              <w:tc>
                <w:tcPr>
                  <w:tcW w:w="5607" w:type="dxa"/>
                  <w:tcBorders>
                    <w:tl2br w:val="nil"/>
                    <w:tr2bl w:val="nil"/>
                  </w:tcBorders>
                  <w:shd w:val="clear" w:color="auto" w:fill="FFFFFF"/>
                  <w:tcMar>
                    <w:top w:w="15" w:type="dxa"/>
                    <w:left w:w="15" w:type="dxa"/>
                    <w:right w:w="15" w:type="dxa"/>
                  </w:tcMar>
                </w:tcPr>
                <w:p>
                  <w:pPr>
                    <w:pStyle w:val="34"/>
                    <w:rPr>
                      <w:rFonts w:ascii="宋体" w:hAnsi="宋体" w:cs="宋体"/>
                      <w:sz w:val="21"/>
                      <w:szCs w:val="21"/>
                    </w:rPr>
                  </w:pPr>
                  <w:r>
                    <w:rPr>
                      <w:rFonts w:hint="eastAsia" w:ascii="宋体" w:hAnsi="宋体" w:cs="宋体"/>
                      <w:sz w:val="21"/>
                      <w:szCs w:val="21"/>
                    </w:rPr>
                    <w:t>邻二甲苯塔重沸器热源在温度/流量控制下由邻二甲苯塔重沸器（111-E-409） 提供。塔底产品通过二甲苯塔塔底泵（111-P-407）被送至歧化部分 C9/C10 芳烃分离塔。</w:t>
                  </w:r>
                </w:p>
              </w:tc>
            </w:tr>
          </w:tbl>
          <w:p>
            <w:pPr>
              <w:spacing w:line="360" w:lineRule="exact"/>
              <w:rPr>
                <w:rFonts w:ascii="宋体" w:hAnsi="宋体" w:cs="宋体"/>
                <w:szCs w:val="21"/>
              </w:rPr>
            </w:pPr>
            <w:r>
              <w:rPr>
                <w:rFonts w:hint="eastAsia" w:ascii="宋体" w:hAnsi="宋体" w:cs="宋体"/>
                <w:szCs w:val="21"/>
              </w:rPr>
              <w:t>7</w:t>
            </w:r>
            <w:r>
              <w:rPr>
                <w:rFonts w:hint="eastAsia" w:ascii="宋体" w:hAnsi="宋体" w:cs="宋体"/>
                <w:szCs w:val="21"/>
                <w:lang w:val="en-US" w:eastAsia="zh-CN"/>
              </w:rPr>
              <w:t>.</w:t>
            </w:r>
            <w:r>
              <w:rPr>
                <w:rFonts w:hint="eastAsia" w:ascii="宋体" w:hAnsi="宋体" w:cs="宋体"/>
                <w:szCs w:val="21"/>
              </w:rPr>
              <w:t>培训项目要求</w:t>
            </w:r>
          </w:p>
          <w:p>
            <w:pPr>
              <w:numPr>
                <w:ilvl w:val="0"/>
                <w:numId w:val="9"/>
              </w:numPr>
              <w:spacing w:line="360" w:lineRule="auto"/>
              <w:ind w:left="-210" w:leftChars="0" w:firstLine="420" w:firstLineChars="0"/>
              <w:rPr>
                <w:rFonts w:ascii="宋体" w:hAnsi="宋体" w:cs="宋体"/>
                <w:szCs w:val="21"/>
              </w:rPr>
            </w:pPr>
            <w:r>
              <w:rPr>
                <w:rFonts w:hint="eastAsia" w:ascii="宋体" w:hAnsi="宋体" w:cs="宋体"/>
                <w:szCs w:val="21"/>
              </w:rPr>
              <w:t>二甲苯分馏工段培训项目 ：冷态开车、正常操作、正常停车、故障设定等；</w:t>
            </w:r>
          </w:p>
          <w:p>
            <w:pPr>
              <w:spacing w:line="360" w:lineRule="auto"/>
              <w:ind w:firstLine="420"/>
              <w:rPr>
                <w:rFonts w:ascii="宋体" w:hAnsi="宋体" w:cs="宋体"/>
                <w:szCs w:val="21"/>
              </w:rPr>
            </w:pPr>
            <w:r>
              <w:rPr>
                <w:rFonts w:hint="eastAsia" w:ascii="宋体" w:hAnsi="宋体" w:cs="宋体"/>
                <w:szCs w:val="21"/>
              </w:rPr>
              <w:t>冷态开车：能够训练按正确步骤开关相应的阀门、设备和仪表，贯通流程；</w:t>
            </w:r>
          </w:p>
          <w:p>
            <w:pPr>
              <w:spacing w:line="360" w:lineRule="auto"/>
              <w:ind w:firstLine="420"/>
              <w:rPr>
                <w:rFonts w:ascii="宋体" w:hAnsi="宋体" w:cs="宋体"/>
                <w:szCs w:val="21"/>
              </w:rPr>
            </w:pPr>
            <w:r>
              <w:rPr>
                <w:rFonts w:hint="eastAsia" w:ascii="宋体" w:hAnsi="宋体" w:cs="宋体"/>
                <w:szCs w:val="21"/>
              </w:rPr>
              <w:t>正常操作：能够训练正确控制和调节工况参数；</w:t>
            </w:r>
          </w:p>
          <w:p>
            <w:pPr>
              <w:spacing w:line="360" w:lineRule="auto"/>
              <w:ind w:firstLine="420"/>
              <w:rPr>
                <w:rFonts w:ascii="宋体" w:hAnsi="宋体" w:cs="宋体"/>
                <w:szCs w:val="21"/>
              </w:rPr>
            </w:pPr>
            <w:r>
              <w:rPr>
                <w:rFonts w:hint="eastAsia" w:ascii="宋体" w:hAnsi="宋体" w:cs="宋体"/>
                <w:szCs w:val="21"/>
              </w:rPr>
              <w:t>正常停车：能够训练按正确步骤停车；</w:t>
            </w:r>
          </w:p>
          <w:p>
            <w:pPr>
              <w:spacing w:line="360" w:lineRule="auto"/>
              <w:ind w:firstLine="420"/>
              <w:rPr>
                <w:rFonts w:ascii="宋体" w:hAnsi="宋体" w:cs="宋体"/>
                <w:szCs w:val="21"/>
              </w:rPr>
            </w:pPr>
            <w:r>
              <w:rPr>
                <w:rFonts w:hint="eastAsia" w:ascii="宋体" w:hAnsi="宋体" w:cs="宋体"/>
                <w:szCs w:val="21"/>
              </w:rPr>
              <w:t>故障处理：能够训练按正确步骤处理相关故障；</w:t>
            </w:r>
          </w:p>
          <w:p>
            <w:pPr>
              <w:numPr>
                <w:ilvl w:val="0"/>
                <w:numId w:val="9"/>
              </w:numPr>
              <w:ind w:left="-210" w:leftChars="0" w:firstLine="420" w:firstLineChars="0"/>
              <w:rPr>
                <w:rFonts w:ascii="宋体" w:hAnsi="宋体" w:cs="宋体"/>
                <w:szCs w:val="21"/>
              </w:rPr>
            </w:pPr>
            <w:r>
              <w:rPr>
                <w:rFonts w:hint="eastAsia" w:ascii="宋体" w:hAnsi="宋体" w:cs="宋体"/>
                <w:szCs w:val="21"/>
              </w:rPr>
              <w:t>故障清单</w:t>
            </w:r>
          </w:p>
          <w:tbl>
            <w:tblPr>
              <w:tblStyle w:val="17"/>
              <w:tblW w:w="0" w:type="auto"/>
              <w:jc w:val="center"/>
              <w:tblLayout w:type="fixed"/>
              <w:tblCellMar>
                <w:top w:w="0" w:type="dxa"/>
                <w:left w:w="0" w:type="dxa"/>
                <w:bottom w:w="0" w:type="dxa"/>
                <w:right w:w="0" w:type="dxa"/>
              </w:tblCellMar>
            </w:tblPr>
            <w:tblGrid>
              <w:gridCol w:w="1436"/>
              <w:gridCol w:w="5145"/>
            </w:tblGrid>
            <w:tr>
              <w:tblPrEx>
                <w:tblCellMar>
                  <w:top w:w="0" w:type="dxa"/>
                  <w:left w:w="0" w:type="dxa"/>
                  <w:bottom w:w="0" w:type="dxa"/>
                  <w:right w:w="0" w:type="dxa"/>
                </w:tblCellMar>
              </w:tblPrEx>
              <w:trPr>
                <w:trHeight w:val="300" w:hRule="atLeast"/>
                <w:jc w:val="center"/>
              </w:trPr>
              <w:tc>
                <w:tcPr>
                  <w:tcW w:w="14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序号</w:t>
                  </w:r>
                </w:p>
              </w:tc>
              <w:tc>
                <w:tcPr>
                  <w:tcW w:w="5145" w:type="dxa"/>
                  <w:tcBorders>
                    <w:top w:val="single" w:color="000000" w:sz="8" w:space="0"/>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名称</w:t>
                  </w:r>
                </w:p>
              </w:tc>
            </w:tr>
            <w:tr>
              <w:tblPrEx>
                <w:tblCellMar>
                  <w:top w:w="0" w:type="dxa"/>
                  <w:left w:w="0" w:type="dxa"/>
                  <w:bottom w:w="0" w:type="dxa"/>
                  <w:right w:w="0" w:type="dxa"/>
                </w:tblCellMar>
              </w:tblPrEx>
              <w:trPr>
                <w:trHeight w:val="300" w:hRule="atLeast"/>
                <w:jc w:val="center"/>
              </w:trPr>
              <w:tc>
                <w:tcPr>
                  <w:tcW w:w="1436" w:type="dxa"/>
                  <w:tcBorders>
                    <w:top w:val="nil"/>
                    <w:left w:val="single" w:color="000000" w:sz="8" w:space="0"/>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1</w:t>
                  </w:r>
                </w:p>
              </w:tc>
              <w:tc>
                <w:tcPr>
                  <w:tcW w:w="514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二甲苯FV40107</w:t>
                  </w:r>
                  <w:r>
                    <w:rPr>
                      <w:rStyle w:val="35"/>
                      <w:rFonts w:hint="default"/>
                      <w:color w:val="auto"/>
                      <w:lang w:bidi="ar"/>
                    </w:rPr>
                    <w:t>故障</w:t>
                  </w:r>
                </w:p>
              </w:tc>
            </w:tr>
            <w:tr>
              <w:tblPrEx>
                <w:tblCellMar>
                  <w:top w:w="0" w:type="dxa"/>
                  <w:left w:w="0" w:type="dxa"/>
                  <w:bottom w:w="0" w:type="dxa"/>
                  <w:right w:w="0" w:type="dxa"/>
                </w:tblCellMar>
              </w:tblPrEx>
              <w:trPr>
                <w:trHeight w:val="300" w:hRule="atLeast"/>
                <w:jc w:val="center"/>
              </w:trPr>
              <w:tc>
                <w:tcPr>
                  <w:tcW w:w="1436" w:type="dxa"/>
                  <w:tcBorders>
                    <w:top w:val="nil"/>
                    <w:left w:val="single" w:color="000000" w:sz="8" w:space="0"/>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2</w:t>
                  </w:r>
                </w:p>
              </w:tc>
              <w:tc>
                <w:tcPr>
                  <w:tcW w:w="514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二甲苯R401B</w:t>
                  </w:r>
                  <w:r>
                    <w:rPr>
                      <w:rStyle w:val="35"/>
                      <w:rFonts w:hint="default"/>
                      <w:color w:val="auto"/>
                      <w:lang w:bidi="ar"/>
                    </w:rPr>
                    <w:t>故障</w:t>
                  </w:r>
                </w:p>
              </w:tc>
            </w:tr>
            <w:tr>
              <w:tblPrEx>
                <w:tblCellMar>
                  <w:top w:w="0" w:type="dxa"/>
                  <w:left w:w="0" w:type="dxa"/>
                  <w:bottom w:w="0" w:type="dxa"/>
                  <w:right w:w="0" w:type="dxa"/>
                </w:tblCellMar>
              </w:tblPrEx>
              <w:trPr>
                <w:trHeight w:val="300" w:hRule="atLeast"/>
                <w:jc w:val="center"/>
              </w:trPr>
              <w:tc>
                <w:tcPr>
                  <w:tcW w:w="1436" w:type="dxa"/>
                  <w:tcBorders>
                    <w:top w:val="nil"/>
                    <w:left w:val="single" w:color="000000" w:sz="8" w:space="0"/>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3</w:t>
                  </w:r>
                </w:p>
              </w:tc>
              <w:tc>
                <w:tcPr>
                  <w:tcW w:w="514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二甲苯C401进料中断故障</w:t>
                  </w:r>
                </w:p>
              </w:tc>
            </w:tr>
            <w:tr>
              <w:tblPrEx>
                <w:tblCellMar>
                  <w:top w:w="0" w:type="dxa"/>
                  <w:left w:w="0" w:type="dxa"/>
                  <w:bottom w:w="0" w:type="dxa"/>
                  <w:right w:w="0" w:type="dxa"/>
                </w:tblCellMar>
              </w:tblPrEx>
              <w:trPr>
                <w:trHeight w:val="300" w:hRule="atLeast"/>
                <w:jc w:val="center"/>
              </w:trPr>
              <w:tc>
                <w:tcPr>
                  <w:tcW w:w="1436" w:type="dxa"/>
                  <w:tcBorders>
                    <w:top w:val="nil"/>
                    <w:left w:val="single" w:color="000000" w:sz="8" w:space="0"/>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4</w:t>
                  </w:r>
                </w:p>
              </w:tc>
              <w:tc>
                <w:tcPr>
                  <w:tcW w:w="514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二甲苯P402故障</w:t>
                  </w:r>
                </w:p>
              </w:tc>
            </w:tr>
            <w:tr>
              <w:tblPrEx>
                <w:tblCellMar>
                  <w:top w:w="0" w:type="dxa"/>
                  <w:left w:w="0" w:type="dxa"/>
                  <w:bottom w:w="0" w:type="dxa"/>
                  <w:right w:w="0" w:type="dxa"/>
                </w:tblCellMar>
              </w:tblPrEx>
              <w:trPr>
                <w:trHeight w:val="300" w:hRule="atLeast"/>
                <w:jc w:val="center"/>
              </w:trPr>
              <w:tc>
                <w:tcPr>
                  <w:tcW w:w="1436" w:type="dxa"/>
                  <w:tcBorders>
                    <w:top w:val="nil"/>
                    <w:left w:val="single" w:color="000000" w:sz="8" w:space="0"/>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5</w:t>
                  </w:r>
                </w:p>
              </w:tc>
              <w:tc>
                <w:tcPr>
                  <w:tcW w:w="5145"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lang w:bidi="ar"/>
                    </w:rPr>
                    <w:t>二甲苯P407故障</w:t>
                  </w:r>
                </w:p>
              </w:tc>
            </w:tr>
          </w:tbl>
          <w:p>
            <w:pPr>
              <w:adjustRightInd w:val="0"/>
              <w:snapToGrid w:val="0"/>
              <w:spacing w:before="156" w:beforeLines="50" w:after="78" w:afterLines="25"/>
              <w:rPr>
                <w:rFonts w:ascii="宋体" w:hAnsi="宋体" w:cs="宋体"/>
                <w:b/>
                <w:bCs/>
                <w:szCs w:val="21"/>
              </w:rPr>
            </w:pPr>
            <w:r>
              <w:rPr>
                <w:rFonts w:hint="eastAsia" w:ascii="宋体" w:hAnsi="宋体" w:cs="宋体"/>
                <w:szCs w:val="21"/>
              </w:rPr>
              <w:t>8</w:t>
            </w:r>
            <w:r>
              <w:rPr>
                <w:rFonts w:hint="eastAsia" w:ascii="宋体" w:hAnsi="宋体" w:cs="宋体"/>
                <w:szCs w:val="21"/>
                <w:lang w:val="en-US" w:eastAsia="zh-CN"/>
              </w:rPr>
              <w:t>.</w:t>
            </w:r>
            <w:r>
              <w:rPr>
                <w:rFonts w:hint="eastAsia" w:ascii="宋体" w:hAnsi="宋体" w:cs="宋体"/>
                <w:szCs w:val="21"/>
              </w:rPr>
              <w:t>仿真系统运行要求</w:t>
            </w:r>
          </w:p>
          <w:p>
            <w:pPr>
              <w:numPr>
                <w:ilvl w:val="0"/>
                <w:numId w:val="0"/>
              </w:numPr>
              <w:adjustRightInd w:val="0"/>
              <w:snapToGrid w:val="0"/>
              <w:ind w:firstLine="210" w:firstLineChars="100"/>
              <w:rPr>
                <w:rFonts w:ascii="宋体" w:hAnsi="宋体" w:cs="宋体"/>
                <w:b/>
                <w:bCs/>
                <w:szCs w:val="21"/>
              </w:rPr>
            </w:pPr>
            <w:r>
              <w:rPr>
                <w:rFonts w:hint="eastAsia" w:ascii="宋体" w:hAnsi="宋体" w:cs="宋体"/>
                <w:bCs/>
                <w:szCs w:val="21"/>
                <w:lang w:eastAsia="zh-CN"/>
              </w:rPr>
              <w:t>（</w:t>
            </w:r>
            <w:r>
              <w:rPr>
                <w:rFonts w:hint="eastAsia" w:ascii="宋体" w:hAnsi="宋体" w:cs="宋体"/>
                <w:bCs/>
                <w:szCs w:val="21"/>
                <w:lang w:val="en-US" w:eastAsia="zh-CN"/>
              </w:rPr>
              <w:t>1</w:t>
            </w:r>
            <w:r>
              <w:rPr>
                <w:rFonts w:hint="eastAsia" w:ascii="宋体" w:hAnsi="宋体" w:cs="宋体"/>
                <w:bCs/>
                <w:szCs w:val="21"/>
                <w:lang w:eastAsia="zh-CN"/>
              </w:rPr>
              <w:t>）</w:t>
            </w:r>
            <w:r>
              <w:rPr>
                <w:rFonts w:hint="eastAsia" w:ascii="宋体" w:hAnsi="宋体" w:cs="宋体"/>
                <w:bCs/>
                <w:szCs w:val="21"/>
              </w:rPr>
              <w:t>培训组态软件</w:t>
            </w:r>
          </w:p>
          <w:p>
            <w:pPr>
              <w:adjustRightInd w:val="0"/>
              <w:snapToGrid w:val="0"/>
              <w:ind w:firstLine="420" w:firstLineChars="200"/>
              <w:rPr>
                <w:rFonts w:ascii="宋体" w:hAnsi="宋体" w:cs="宋体"/>
                <w:b/>
                <w:szCs w:val="21"/>
              </w:rPr>
            </w:pPr>
            <w:r>
              <w:rPr>
                <w:rFonts w:hint="eastAsia" w:ascii="宋体" w:hAnsi="宋体" w:cs="宋体"/>
                <w:szCs w:val="21"/>
              </w:rPr>
              <w:t>提供可视化环境，对工艺模型、教师和操作员三者的关系和培训模式进行组态。</w:t>
            </w:r>
          </w:p>
          <w:p>
            <w:pPr>
              <w:adjustRightInd w:val="0"/>
              <w:snapToGrid w:val="0"/>
              <w:ind w:firstLine="420" w:firstLineChars="200"/>
              <w:rPr>
                <w:rFonts w:ascii="宋体" w:hAnsi="宋体" w:cs="宋体"/>
                <w:b/>
                <w:szCs w:val="21"/>
              </w:rPr>
            </w:pPr>
            <w:r>
              <w:rPr>
                <w:rFonts w:hint="eastAsia" w:ascii="宋体" w:hAnsi="宋体" w:cs="宋体"/>
                <w:szCs w:val="21"/>
              </w:rPr>
              <w:t>包含图形化编辑练习的模块，能编辑各种开车操作练习、停车操作练习以及各种故障处理练习，以符合培训需求。</w:t>
            </w:r>
          </w:p>
          <w:p>
            <w:pPr>
              <w:numPr>
                <w:ilvl w:val="0"/>
                <w:numId w:val="0"/>
              </w:numPr>
              <w:adjustRightInd w:val="0"/>
              <w:snapToGrid w:val="0"/>
              <w:ind w:leftChars="0" w:firstLine="210" w:firstLineChars="100"/>
              <w:rPr>
                <w:rFonts w:ascii="宋体" w:hAnsi="宋体" w:cs="宋体"/>
                <w:b/>
                <w:bCs/>
                <w:szCs w:val="21"/>
              </w:rPr>
            </w:pP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lang w:eastAsia="zh-CN"/>
              </w:rPr>
              <w:t>）</w:t>
            </w:r>
            <w:r>
              <w:rPr>
                <w:rFonts w:hint="eastAsia" w:ascii="宋体" w:hAnsi="宋体" w:cs="宋体"/>
                <w:bCs/>
                <w:szCs w:val="21"/>
              </w:rPr>
              <w:t>教师站</w:t>
            </w:r>
          </w:p>
          <w:p>
            <w:pPr>
              <w:adjustRightInd w:val="0"/>
              <w:snapToGrid w:val="0"/>
              <w:ind w:firstLine="420" w:firstLineChars="200"/>
              <w:rPr>
                <w:rFonts w:ascii="宋体" w:hAnsi="宋体" w:cs="宋体"/>
                <w:b/>
                <w:szCs w:val="21"/>
              </w:rPr>
            </w:pPr>
            <w:r>
              <w:rPr>
                <w:rFonts w:hint="eastAsia" w:ascii="宋体" w:hAnsi="宋体" w:cs="宋体"/>
                <w:szCs w:val="21"/>
              </w:rPr>
              <w:t>教员站的用户界面是图形化的，如果需要显示的信息超过了窗口的大小，可以使用滚动条查看显示的各个部分。教员调入一个画面需要的时间不超过2秒种。画面中动态区域的更新时间也不超过2秒。</w:t>
            </w:r>
          </w:p>
          <w:p>
            <w:pPr>
              <w:adjustRightInd w:val="0"/>
              <w:snapToGrid w:val="0"/>
              <w:ind w:firstLine="420" w:firstLineChars="200"/>
              <w:rPr>
                <w:rFonts w:ascii="宋体" w:hAnsi="宋体" w:cs="宋体"/>
                <w:b/>
                <w:szCs w:val="21"/>
              </w:rPr>
            </w:pPr>
            <w:r>
              <w:rPr>
                <w:rFonts w:hint="eastAsia" w:ascii="宋体" w:hAnsi="宋体" w:cs="宋体"/>
                <w:szCs w:val="21"/>
              </w:rPr>
              <w:t>教员是仿真培训中起引导和监控作用的角色，负责管理和监控学员的培训情况，给学员布置练习，对学员进行考评等。教员站软件具备：</w:t>
            </w:r>
          </w:p>
          <w:p>
            <w:pPr>
              <w:numPr>
                <w:ilvl w:val="0"/>
                <w:numId w:val="10"/>
              </w:numPr>
              <w:adjustRightInd w:val="0"/>
              <w:snapToGrid w:val="0"/>
              <w:ind w:left="0" w:firstLine="420" w:firstLineChars="200"/>
              <w:jc w:val="left"/>
              <w:rPr>
                <w:rFonts w:ascii="宋体" w:hAnsi="宋体" w:cs="宋体"/>
                <w:b/>
                <w:szCs w:val="21"/>
              </w:rPr>
            </w:pPr>
            <w:r>
              <w:rPr>
                <w:rFonts w:hint="eastAsia" w:ascii="宋体" w:hAnsi="宋体" w:cs="宋体"/>
                <w:szCs w:val="21"/>
              </w:rPr>
              <w:t>查看和管理学员状态和数据</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每个学员的登录姓名、班组、工号等基本信息；</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每个学员当前培训的项目和内容、操作状态和进度、得分情况。</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每个学员正在操作的仿真模型的所有数据点的值。</w:t>
            </w:r>
          </w:p>
          <w:p>
            <w:pPr>
              <w:numPr>
                <w:ilvl w:val="0"/>
                <w:numId w:val="10"/>
              </w:numPr>
              <w:adjustRightInd w:val="0"/>
              <w:snapToGrid w:val="0"/>
              <w:ind w:left="0" w:firstLine="420" w:firstLineChars="200"/>
              <w:jc w:val="left"/>
              <w:rPr>
                <w:rFonts w:ascii="宋体" w:hAnsi="宋体" w:cs="宋体"/>
                <w:b/>
                <w:szCs w:val="21"/>
              </w:rPr>
            </w:pPr>
            <w:r>
              <w:rPr>
                <w:rFonts w:hint="eastAsia" w:ascii="宋体" w:hAnsi="宋体" w:cs="宋体"/>
                <w:szCs w:val="21"/>
              </w:rPr>
              <w:t>学员站冻结及解冻</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冻结功能：选择任一学员对其进行状态冻结，冻结之后该学员不能进行仿真操作，直到教员将其解冻为止；</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解冻功能：解冻学员的操作状态，令其回复仿真操作，继续仿真运行。</w:t>
            </w:r>
          </w:p>
          <w:p>
            <w:pPr>
              <w:numPr>
                <w:ilvl w:val="0"/>
                <w:numId w:val="10"/>
              </w:numPr>
              <w:adjustRightInd w:val="0"/>
              <w:snapToGrid w:val="0"/>
              <w:ind w:left="0" w:firstLine="420" w:firstLineChars="200"/>
              <w:jc w:val="left"/>
              <w:rPr>
                <w:rFonts w:ascii="宋体" w:hAnsi="宋体" w:cs="宋体"/>
                <w:b/>
                <w:szCs w:val="21"/>
              </w:rPr>
            </w:pPr>
            <w:r>
              <w:rPr>
                <w:rFonts w:hint="eastAsia" w:ascii="宋体" w:hAnsi="宋体" w:cs="宋体"/>
                <w:szCs w:val="21"/>
              </w:rPr>
              <w:t>练习模式和考试模式设置</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设置练习模式：该模式下学员可以自由选择培训的项目和内容</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设置考试模式：该模式下由教员设置学员的考试项目和内容，并设置考试的开始时间和结束时间；</w:t>
            </w:r>
          </w:p>
          <w:p>
            <w:pPr>
              <w:numPr>
                <w:ilvl w:val="0"/>
                <w:numId w:val="10"/>
              </w:numPr>
              <w:adjustRightInd w:val="0"/>
              <w:snapToGrid w:val="0"/>
              <w:ind w:left="0" w:firstLine="420" w:firstLineChars="200"/>
              <w:jc w:val="left"/>
              <w:rPr>
                <w:rFonts w:ascii="宋体" w:hAnsi="宋体" w:cs="宋体"/>
                <w:b/>
                <w:szCs w:val="21"/>
              </w:rPr>
            </w:pPr>
            <w:r>
              <w:rPr>
                <w:rFonts w:hint="eastAsia" w:ascii="宋体" w:hAnsi="宋体" w:cs="宋体"/>
                <w:szCs w:val="21"/>
              </w:rPr>
              <w:t>通用事故库</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事故库中预先设置工厂普遍可能出现的通用事故情况，比如停电事故、停蒸汽事故、停水事故、停气事故等。</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在仿真运行的任一时刻触发通用事故库中的故障，考察学员对常见故障的识别和处理能力。</w:t>
            </w:r>
          </w:p>
          <w:p>
            <w:pPr>
              <w:numPr>
                <w:ilvl w:val="0"/>
                <w:numId w:val="10"/>
              </w:numPr>
              <w:adjustRightInd w:val="0"/>
              <w:snapToGrid w:val="0"/>
              <w:ind w:left="0" w:firstLine="420" w:firstLineChars="200"/>
              <w:jc w:val="left"/>
              <w:rPr>
                <w:rFonts w:ascii="宋体" w:hAnsi="宋体" w:cs="宋体"/>
                <w:b/>
                <w:szCs w:val="21"/>
              </w:rPr>
            </w:pPr>
            <w:r>
              <w:rPr>
                <w:rFonts w:hint="eastAsia" w:ascii="宋体" w:hAnsi="宋体" w:cs="宋体"/>
                <w:szCs w:val="21"/>
              </w:rPr>
              <w:t>教师变量</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教师变量设定：预先设定工艺模型的关键设备/参数作为教师变量；</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教师变量触发：教员可以选择任一学员的仿真模型中的教师变量进行改变，修改其数据，考察学员的识别和处理能力。</w:t>
            </w:r>
          </w:p>
          <w:p>
            <w:pPr>
              <w:numPr>
                <w:ilvl w:val="0"/>
                <w:numId w:val="10"/>
              </w:numPr>
              <w:adjustRightInd w:val="0"/>
              <w:snapToGrid w:val="0"/>
              <w:ind w:left="0" w:firstLine="420" w:firstLineChars="200"/>
              <w:jc w:val="left"/>
              <w:rPr>
                <w:rFonts w:ascii="宋体" w:hAnsi="宋体" w:cs="宋体"/>
                <w:b/>
                <w:szCs w:val="21"/>
              </w:rPr>
            </w:pPr>
            <w:r>
              <w:rPr>
                <w:rFonts w:hint="eastAsia" w:ascii="宋体" w:hAnsi="宋体" w:cs="宋体"/>
                <w:szCs w:val="21"/>
              </w:rPr>
              <w:t>成绩管理</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显示监控：显示和监控当前所有学员的练习或考试成绩；</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自动记录：自动记录所有学员的成绩，保存到历史成绩库；</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历史成绩查看：从历史成绩库中调出每个学员某一场考试的成绩查看。</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打印/导出：当前或历史成绩数据表打印/导出功能。</w:t>
            </w:r>
          </w:p>
          <w:p>
            <w:pPr>
              <w:numPr>
                <w:ilvl w:val="0"/>
                <w:numId w:val="10"/>
              </w:numPr>
              <w:adjustRightInd w:val="0"/>
              <w:snapToGrid w:val="0"/>
              <w:ind w:left="0" w:firstLine="420" w:firstLineChars="200"/>
              <w:jc w:val="left"/>
              <w:rPr>
                <w:rFonts w:ascii="宋体" w:hAnsi="宋体" w:cs="宋体"/>
                <w:b/>
                <w:szCs w:val="21"/>
              </w:rPr>
            </w:pPr>
            <w:r>
              <w:rPr>
                <w:rFonts w:hint="eastAsia" w:ascii="宋体" w:hAnsi="宋体" w:cs="宋体"/>
                <w:szCs w:val="21"/>
              </w:rPr>
              <w:t>自动考评功能</w:t>
            </w:r>
          </w:p>
          <w:p>
            <w:pPr>
              <w:pStyle w:val="36"/>
              <w:adjustRightInd w:val="0"/>
              <w:snapToGrid w:val="0"/>
              <w:ind w:firstLine="630" w:firstLineChars="300"/>
              <w:jc w:val="left"/>
              <w:textAlignment w:val="baseline"/>
              <w:rPr>
                <w:rFonts w:ascii="宋体" w:hAnsi="宋体" w:cs="宋体"/>
                <w:b w:val="0"/>
                <w:szCs w:val="21"/>
              </w:rPr>
            </w:pPr>
            <w:r>
              <w:rPr>
                <w:rFonts w:hint="eastAsia" w:ascii="宋体" w:hAnsi="宋体" w:cs="宋体"/>
                <w:b w:val="0"/>
                <w:szCs w:val="21"/>
              </w:rPr>
              <w:t>自动考评：对学员操作过程进行自动化考评；</w:t>
            </w:r>
          </w:p>
          <w:p>
            <w:pPr>
              <w:pStyle w:val="36"/>
              <w:adjustRightInd w:val="0"/>
              <w:snapToGrid w:val="0"/>
              <w:ind w:firstLine="630" w:firstLineChars="300"/>
              <w:jc w:val="left"/>
              <w:textAlignment w:val="baseline"/>
              <w:rPr>
                <w:rFonts w:ascii="宋体" w:hAnsi="宋体" w:cs="宋体"/>
                <w:b w:val="0"/>
                <w:szCs w:val="21"/>
              </w:rPr>
            </w:pPr>
            <w:r>
              <w:rPr>
                <w:rFonts w:hint="eastAsia" w:ascii="宋体" w:hAnsi="宋体" w:cs="宋体"/>
                <w:b w:val="0"/>
                <w:szCs w:val="21"/>
              </w:rPr>
              <w:t>考评方式：提供偏移评估法、目标评估法和轨迹评估法进行考评。</w:t>
            </w:r>
          </w:p>
          <w:p>
            <w:pPr>
              <w:numPr>
                <w:ilvl w:val="0"/>
                <w:numId w:val="10"/>
              </w:numPr>
              <w:adjustRightInd w:val="0"/>
              <w:snapToGrid w:val="0"/>
              <w:ind w:left="0" w:firstLine="420" w:firstLineChars="200"/>
              <w:jc w:val="left"/>
              <w:rPr>
                <w:rFonts w:ascii="宋体" w:hAnsi="宋体" w:cs="宋体"/>
                <w:b/>
                <w:szCs w:val="21"/>
              </w:rPr>
            </w:pPr>
            <w:r>
              <w:rPr>
                <w:rFonts w:hint="eastAsia" w:ascii="宋体" w:hAnsi="宋体" w:cs="宋体"/>
                <w:szCs w:val="21"/>
              </w:rPr>
              <w:t>专用管理工具</w:t>
            </w:r>
          </w:p>
          <w:p>
            <w:pPr>
              <w:adjustRightInd w:val="0"/>
              <w:snapToGrid w:val="0"/>
              <w:ind w:firstLine="420" w:firstLineChars="200"/>
              <w:rPr>
                <w:rFonts w:ascii="宋体" w:hAnsi="宋体" w:cs="宋体"/>
                <w:b/>
                <w:szCs w:val="21"/>
              </w:rPr>
            </w:pPr>
            <w:r>
              <w:rPr>
                <w:rFonts w:hint="eastAsia" w:ascii="宋体" w:hAnsi="宋体" w:cs="宋体"/>
                <w:szCs w:val="21"/>
              </w:rPr>
              <w:t>在培训过程中，作为教员组织管理培训的专用管理工具，教员站的功能菜单包括有打印工具、导出考试成绩、启动服务、运行管理、查看历史成绩、学员状态监控等功能块。</w:t>
            </w:r>
          </w:p>
          <w:p>
            <w:pPr>
              <w:numPr>
                <w:ilvl w:val="0"/>
                <w:numId w:val="0"/>
              </w:numPr>
              <w:adjustRightInd w:val="0"/>
              <w:snapToGrid w:val="0"/>
              <w:ind w:firstLine="210" w:firstLineChars="100"/>
              <w:rPr>
                <w:rFonts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3</w:t>
            </w:r>
            <w:r>
              <w:rPr>
                <w:rFonts w:hint="eastAsia" w:ascii="宋体" w:hAnsi="宋体" w:cs="宋体"/>
                <w:bCs/>
                <w:szCs w:val="21"/>
                <w:lang w:eastAsia="zh-CN"/>
              </w:rPr>
              <w:t>）</w:t>
            </w:r>
            <w:r>
              <w:rPr>
                <w:rFonts w:hint="eastAsia" w:ascii="宋体" w:hAnsi="宋体" w:cs="宋体"/>
                <w:bCs/>
                <w:szCs w:val="21"/>
              </w:rPr>
              <w:t>学员站</w:t>
            </w:r>
          </w:p>
          <w:p>
            <w:pPr>
              <w:widowControl/>
              <w:adjustRightInd w:val="0"/>
              <w:snapToGrid w:val="0"/>
              <w:ind w:firstLine="420" w:firstLineChars="200"/>
              <w:rPr>
                <w:rFonts w:ascii="宋体" w:hAnsi="宋体" w:cs="宋体"/>
                <w:b/>
                <w:szCs w:val="21"/>
              </w:rPr>
            </w:pPr>
            <w:r>
              <w:rPr>
                <w:rFonts w:hint="eastAsia" w:ascii="宋体" w:hAnsi="宋体" w:cs="宋体"/>
                <w:szCs w:val="21"/>
              </w:rPr>
              <w:t>为了满足培训需要，学员站除了能够进行模拟DCS操作、现场操作以及操作指导及评价功能外，还能实现如下功能：</w:t>
            </w:r>
          </w:p>
          <w:p>
            <w:pPr>
              <w:numPr>
                <w:ilvl w:val="0"/>
                <w:numId w:val="11"/>
              </w:numPr>
              <w:adjustRightInd w:val="0"/>
              <w:snapToGrid w:val="0"/>
              <w:ind w:left="638" w:leftChars="200" w:hanging="218" w:hangingChars="104"/>
              <w:jc w:val="left"/>
              <w:rPr>
                <w:rFonts w:ascii="宋体" w:hAnsi="宋体" w:cs="宋体"/>
                <w:b/>
                <w:szCs w:val="21"/>
              </w:rPr>
            </w:pPr>
            <w:r>
              <w:rPr>
                <w:rFonts w:hint="eastAsia" w:ascii="宋体" w:hAnsi="宋体" w:cs="宋体"/>
                <w:szCs w:val="21"/>
              </w:rPr>
              <w:t>培训内容选择：</w:t>
            </w:r>
          </w:p>
          <w:p>
            <w:pPr>
              <w:pStyle w:val="36"/>
              <w:adjustRightInd w:val="0"/>
              <w:snapToGrid w:val="0"/>
              <w:ind w:left="638" w:leftChars="200" w:hanging="218" w:hangingChars="104"/>
              <w:jc w:val="left"/>
              <w:textAlignment w:val="baseline"/>
              <w:rPr>
                <w:rFonts w:ascii="宋体" w:hAnsi="宋体" w:cs="宋体"/>
                <w:b w:val="0"/>
                <w:szCs w:val="21"/>
              </w:rPr>
            </w:pPr>
            <w:r>
              <w:rPr>
                <w:rFonts w:hint="eastAsia" w:ascii="宋体" w:hAnsi="宋体" w:cs="宋体"/>
                <w:b w:val="0"/>
                <w:szCs w:val="21"/>
              </w:rPr>
              <w:t>培训项目选择：在培训项目的列表里选择任一培训项目进行培训；</w:t>
            </w:r>
          </w:p>
          <w:p>
            <w:pPr>
              <w:pStyle w:val="36"/>
              <w:adjustRightInd w:val="0"/>
              <w:snapToGrid w:val="0"/>
              <w:ind w:left="638" w:leftChars="200" w:hanging="218" w:hangingChars="104"/>
              <w:jc w:val="left"/>
              <w:textAlignment w:val="baseline"/>
              <w:rPr>
                <w:rFonts w:ascii="宋体" w:hAnsi="宋体" w:cs="宋体"/>
                <w:b w:val="0"/>
                <w:szCs w:val="21"/>
              </w:rPr>
            </w:pPr>
            <w:r>
              <w:rPr>
                <w:rFonts w:hint="eastAsia" w:ascii="宋体" w:hAnsi="宋体" w:cs="宋体"/>
                <w:b w:val="0"/>
                <w:szCs w:val="21"/>
              </w:rPr>
              <w:t>培训内容选择：能对培训内容，诸如开车操作、停车操作、各个故障处理操作等进行选择的功能。</w:t>
            </w:r>
          </w:p>
          <w:p>
            <w:pPr>
              <w:numPr>
                <w:ilvl w:val="0"/>
                <w:numId w:val="11"/>
              </w:numPr>
              <w:adjustRightInd w:val="0"/>
              <w:snapToGrid w:val="0"/>
              <w:ind w:left="638" w:leftChars="200" w:hanging="218" w:hangingChars="104"/>
              <w:jc w:val="left"/>
              <w:rPr>
                <w:rFonts w:ascii="宋体" w:hAnsi="宋体" w:cs="宋体"/>
                <w:b/>
                <w:szCs w:val="21"/>
              </w:rPr>
            </w:pPr>
            <w:r>
              <w:rPr>
                <w:rFonts w:hint="eastAsia" w:ascii="宋体" w:hAnsi="宋体" w:cs="宋体"/>
                <w:szCs w:val="21"/>
              </w:rPr>
              <w:t>冻结与解冻</w:t>
            </w:r>
          </w:p>
          <w:p>
            <w:pPr>
              <w:pStyle w:val="36"/>
              <w:adjustRightInd w:val="0"/>
              <w:snapToGrid w:val="0"/>
              <w:ind w:left="638" w:leftChars="200" w:hanging="218" w:hangingChars="104"/>
              <w:jc w:val="left"/>
              <w:textAlignment w:val="baseline"/>
              <w:rPr>
                <w:rFonts w:ascii="宋体" w:hAnsi="宋体" w:cs="宋体"/>
                <w:b w:val="0"/>
                <w:szCs w:val="21"/>
              </w:rPr>
            </w:pPr>
            <w:r>
              <w:rPr>
                <w:rFonts w:hint="eastAsia" w:ascii="宋体" w:hAnsi="宋体" w:cs="宋体"/>
                <w:b w:val="0"/>
                <w:szCs w:val="21"/>
              </w:rPr>
              <w:t>点击冻结按钮，仿真暂停，所有数据保持不变状态，直到解冻为止。</w:t>
            </w:r>
          </w:p>
          <w:p>
            <w:pPr>
              <w:pStyle w:val="36"/>
              <w:adjustRightInd w:val="0"/>
              <w:snapToGrid w:val="0"/>
              <w:ind w:left="638" w:leftChars="200" w:hanging="218" w:hangingChars="104"/>
              <w:jc w:val="left"/>
              <w:textAlignment w:val="baseline"/>
              <w:rPr>
                <w:rFonts w:ascii="宋体" w:hAnsi="宋体" w:cs="宋体"/>
                <w:b w:val="0"/>
                <w:szCs w:val="21"/>
              </w:rPr>
            </w:pPr>
            <w:r>
              <w:rPr>
                <w:rFonts w:hint="eastAsia" w:ascii="宋体" w:hAnsi="宋体" w:cs="宋体"/>
                <w:b w:val="0"/>
                <w:szCs w:val="21"/>
              </w:rPr>
              <w:t>点击解冻按钮，仿真继续运行。</w:t>
            </w:r>
          </w:p>
          <w:p>
            <w:pPr>
              <w:numPr>
                <w:ilvl w:val="0"/>
                <w:numId w:val="11"/>
              </w:numPr>
              <w:adjustRightInd w:val="0"/>
              <w:snapToGrid w:val="0"/>
              <w:ind w:left="638" w:leftChars="200" w:hanging="218" w:hangingChars="104"/>
              <w:jc w:val="left"/>
              <w:rPr>
                <w:rFonts w:ascii="宋体" w:hAnsi="宋体" w:cs="宋体"/>
                <w:b/>
                <w:szCs w:val="21"/>
              </w:rPr>
            </w:pPr>
            <w:r>
              <w:rPr>
                <w:rFonts w:hint="eastAsia" w:ascii="宋体" w:hAnsi="宋体" w:cs="宋体"/>
                <w:szCs w:val="21"/>
              </w:rPr>
              <w:t>协同操作：</w:t>
            </w:r>
          </w:p>
          <w:p>
            <w:pPr>
              <w:pStyle w:val="36"/>
              <w:adjustRightInd w:val="0"/>
              <w:snapToGrid w:val="0"/>
              <w:ind w:left="638" w:leftChars="200" w:hanging="218" w:hangingChars="104"/>
              <w:jc w:val="left"/>
              <w:textAlignment w:val="baseline"/>
              <w:rPr>
                <w:rFonts w:ascii="宋体" w:hAnsi="宋体" w:cs="宋体"/>
                <w:b w:val="0"/>
                <w:szCs w:val="21"/>
              </w:rPr>
            </w:pPr>
            <w:r>
              <w:rPr>
                <w:rFonts w:hint="eastAsia" w:ascii="宋体" w:hAnsi="宋体" w:cs="宋体"/>
                <w:b w:val="0"/>
                <w:szCs w:val="21"/>
              </w:rPr>
              <w:t>多个学员站能共同连接到同一个工艺模型，实现多名学员同步对相同的工艺模型进行协同操作，多人分工合作共同完成复杂的工艺操作过程（比如冷态开车过程），最终整个团队获得相应的团队分数。</w:t>
            </w:r>
          </w:p>
          <w:p>
            <w:pPr>
              <w:numPr>
                <w:ilvl w:val="0"/>
                <w:numId w:val="11"/>
              </w:numPr>
              <w:adjustRightInd w:val="0"/>
              <w:snapToGrid w:val="0"/>
              <w:ind w:left="638" w:leftChars="200" w:hanging="218" w:hangingChars="104"/>
              <w:jc w:val="left"/>
              <w:rPr>
                <w:rFonts w:ascii="宋体" w:hAnsi="宋体" w:cs="宋体"/>
                <w:b/>
                <w:szCs w:val="21"/>
              </w:rPr>
            </w:pPr>
            <w:r>
              <w:rPr>
                <w:rFonts w:hint="eastAsia" w:ascii="宋体" w:hAnsi="宋体" w:cs="宋体"/>
                <w:szCs w:val="21"/>
              </w:rPr>
              <w:t>报警显示：</w:t>
            </w:r>
          </w:p>
          <w:p>
            <w:pPr>
              <w:pStyle w:val="2"/>
              <w:adjustRightInd w:val="0"/>
              <w:snapToGrid w:val="0"/>
              <w:spacing w:after="0"/>
              <w:ind w:left="638" w:hanging="218" w:hangingChars="104"/>
              <w:rPr>
                <w:rFonts w:ascii="宋体" w:hAnsi="宋体" w:cs="宋体"/>
                <w:sz w:val="21"/>
                <w:szCs w:val="21"/>
                <w:lang w:eastAsia="zh-CN"/>
              </w:rPr>
            </w:pPr>
            <w:r>
              <w:rPr>
                <w:rFonts w:hint="eastAsia" w:ascii="宋体" w:hAnsi="宋体" w:cs="宋体"/>
                <w:sz w:val="21"/>
                <w:szCs w:val="21"/>
                <w:lang w:eastAsia="zh-CN"/>
              </w:rPr>
              <w:t>具有与DCS系统相同的报警显示功能。当每个的报警点数据达到触发值后，系统自动报警，包括高/低/高高/低低报警。</w:t>
            </w:r>
          </w:p>
          <w:p>
            <w:pPr>
              <w:numPr>
                <w:ilvl w:val="0"/>
                <w:numId w:val="0"/>
              </w:numPr>
              <w:adjustRightInd w:val="0"/>
              <w:snapToGrid w:val="0"/>
              <w:ind w:leftChars="96"/>
              <w:rPr>
                <w:rFonts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4</w:t>
            </w:r>
            <w:r>
              <w:rPr>
                <w:rFonts w:hint="eastAsia" w:ascii="宋体" w:hAnsi="宋体" w:cs="宋体"/>
                <w:bCs/>
                <w:szCs w:val="21"/>
                <w:lang w:eastAsia="zh-CN"/>
              </w:rPr>
              <w:t>）</w:t>
            </w:r>
            <w:r>
              <w:rPr>
                <w:rFonts w:hint="eastAsia" w:ascii="宋体" w:hAnsi="宋体" w:cs="宋体"/>
                <w:bCs/>
                <w:szCs w:val="21"/>
              </w:rPr>
              <w:t>培训模式</w:t>
            </w:r>
          </w:p>
          <w:p>
            <w:pPr>
              <w:adjustRightInd w:val="0"/>
              <w:snapToGrid w:val="0"/>
              <w:ind w:firstLine="420" w:firstLineChars="200"/>
              <w:rPr>
                <w:rFonts w:ascii="宋体" w:hAnsi="宋体" w:cs="宋体"/>
                <w:b/>
                <w:szCs w:val="21"/>
              </w:rPr>
            </w:pPr>
            <w:r>
              <w:rPr>
                <w:rFonts w:hint="eastAsia" w:ascii="宋体" w:hAnsi="宋体" w:cs="宋体"/>
                <w:szCs w:val="21"/>
              </w:rPr>
              <w:t>根据教学情境、培训场景、岗位角色等各方面的培训需求，三维虚拟仿真培 训系统具备以下三种培训模式：</w:t>
            </w:r>
          </w:p>
          <w:p>
            <w:pPr>
              <w:pStyle w:val="37"/>
              <w:numPr>
                <w:ilvl w:val="0"/>
                <w:numId w:val="12"/>
              </w:numPr>
              <w:adjustRightInd w:val="0"/>
              <w:snapToGrid w:val="0"/>
              <w:ind w:firstLineChars="0"/>
              <w:rPr>
                <w:rFonts w:ascii="宋体" w:hAnsi="宋体" w:cs="宋体"/>
                <w:b w:val="0"/>
                <w:szCs w:val="21"/>
              </w:rPr>
            </w:pPr>
            <w:r>
              <w:rPr>
                <w:rFonts w:hint="eastAsia" w:ascii="宋体" w:hAnsi="宋体" w:cs="宋体"/>
                <w:b w:val="0"/>
                <w:szCs w:val="21"/>
              </w:rPr>
              <w:t>教学演示模式：对培训的应急处置方案以流程图方式自动演示整个应急处置过程，用于学员自学和教员在大屏显示系统授课和展示。</w:t>
            </w:r>
          </w:p>
          <w:p>
            <w:pPr>
              <w:pStyle w:val="37"/>
              <w:numPr>
                <w:ilvl w:val="0"/>
                <w:numId w:val="12"/>
              </w:numPr>
              <w:adjustRightInd w:val="0"/>
              <w:snapToGrid w:val="0"/>
              <w:ind w:firstLineChars="0"/>
              <w:rPr>
                <w:rFonts w:ascii="宋体" w:hAnsi="宋体" w:cs="宋体"/>
                <w:b w:val="0"/>
                <w:szCs w:val="21"/>
              </w:rPr>
            </w:pPr>
            <w:r>
              <w:rPr>
                <w:rFonts w:hint="eastAsia" w:ascii="宋体" w:hAnsi="宋体" w:cs="宋体"/>
                <w:b w:val="0"/>
                <w:szCs w:val="21"/>
              </w:rPr>
              <w:t>单人练习模式：单人扮演多个角色进行应急演练的全部操作，训练其分析判断能力、应急处置能力与应急指挥意识。</w:t>
            </w:r>
          </w:p>
          <w:p>
            <w:pPr>
              <w:pStyle w:val="37"/>
              <w:numPr>
                <w:ilvl w:val="0"/>
                <w:numId w:val="12"/>
              </w:numPr>
              <w:adjustRightInd w:val="0"/>
              <w:snapToGrid w:val="0"/>
              <w:ind w:firstLineChars="0"/>
              <w:rPr>
                <w:rFonts w:ascii="宋体" w:hAnsi="宋体" w:cs="宋体"/>
                <w:b w:val="0"/>
                <w:szCs w:val="21"/>
              </w:rPr>
            </w:pPr>
            <w:r>
              <w:rPr>
                <w:rFonts w:hint="eastAsia" w:ascii="宋体" w:hAnsi="宋体" w:cs="宋体"/>
                <w:b w:val="0"/>
                <w:szCs w:val="21"/>
              </w:rPr>
              <w:t>多人协同模式：多人扮演不同的岗位角色分别进行操作，通过联网协同进行应急演练，训练应急队伍的协同作战能力。</w:t>
            </w:r>
          </w:p>
          <w:p>
            <w:pPr>
              <w:numPr>
                <w:ilvl w:val="0"/>
                <w:numId w:val="0"/>
              </w:numPr>
              <w:adjustRightInd w:val="0"/>
              <w:snapToGrid w:val="0"/>
              <w:ind w:leftChars="0" w:firstLine="210" w:firstLineChars="100"/>
              <w:rPr>
                <w:rFonts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5</w:t>
            </w:r>
            <w:r>
              <w:rPr>
                <w:rFonts w:hint="eastAsia" w:ascii="宋体" w:hAnsi="宋体" w:cs="宋体"/>
                <w:bCs/>
                <w:szCs w:val="21"/>
                <w:lang w:eastAsia="zh-CN"/>
              </w:rPr>
              <w:t>）</w:t>
            </w:r>
            <w:r>
              <w:rPr>
                <w:rFonts w:hint="eastAsia" w:ascii="宋体" w:hAnsi="宋体" w:cs="宋体"/>
                <w:bCs/>
                <w:szCs w:val="21"/>
              </w:rPr>
              <w:t>系统部署方式</w:t>
            </w:r>
          </w:p>
          <w:p>
            <w:pPr>
              <w:adjustRightInd w:val="0"/>
              <w:snapToGrid w:val="0"/>
              <w:ind w:right="18" w:firstLine="420"/>
              <w:rPr>
                <w:rFonts w:ascii="宋体" w:hAnsi="宋体" w:cs="宋体"/>
                <w:b/>
                <w:szCs w:val="21"/>
              </w:rPr>
            </w:pPr>
            <w:r>
              <w:rPr>
                <w:rFonts w:hint="eastAsia" w:ascii="宋体" w:hAnsi="宋体" w:cs="宋体"/>
                <w:szCs w:val="21"/>
              </w:rPr>
              <w:t>仿真软件可根据需求部署在一台或者多台电脑上，部署内容包括：</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教师站：对工艺模型进行操作，对学员进行技能鉴定和监控。</w:t>
            </w:r>
          </w:p>
          <w:p>
            <w:pPr>
              <w:pStyle w:val="36"/>
              <w:adjustRightInd w:val="0"/>
              <w:snapToGrid w:val="0"/>
              <w:ind w:left="840" w:firstLine="0" w:firstLineChars="0"/>
              <w:jc w:val="left"/>
              <w:textAlignment w:val="baseline"/>
              <w:rPr>
                <w:rFonts w:ascii="宋体" w:hAnsi="宋体" w:cs="宋体"/>
                <w:b w:val="0"/>
                <w:szCs w:val="21"/>
              </w:rPr>
            </w:pPr>
            <w:r>
              <w:rPr>
                <w:rFonts w:hint="eastAsia" w:ascii="宋体" w:hAnsi="宋体" w:cs="宋体"/>
                <w:b w:val="0"/>
                <w:szCs w:val="21"/>
              </w:rPr>
              <w:t>学员操作站：学员可以通过单机独立操作进行培训，也可以多名学员协同操作同一工艺模型进行培训。</w:t>
            </w:r>
          </w:p>
          <w:p>
            <w:pPr>
              <w:numPr>
                <w:ilvl w:val="0"/>
                <w:numId w:val="0"/>
              </w:numPr>
              <w:adjustRightInd w:val="0"/>
              <w:snapToGrid w:val="0"/>
              <w:ind w:leftChars="0" w:firstLine="210" w:firstLineChars="100"/>
              <w:rPr>
                <w:rFonts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6</w:t>
            </w:r>
            <w:r>
              <w:rPr>
                <w:rFonts w:hint="eastAsia" w:ascii="宋体" w:hAnsi="宋体" w:cs="宋体"/>
                <w:bCs/>
                <w:szCs w:val="21"/>
                <w:lang w:eastAsia="zh-CN"/>
              </w:rPr>
              <w:t>）</w:t>
            </w:r>
            <w:r>
              <w:rPr>
                <w:rFonts w:hint="eastAsia" w:ascii="宋体" w:hAnsi="宋体" w:cs="宋体"/>
                <w:bCs/>
                <w:szCs w:val="21"/>
              </w:rPr>
              <w:t>系统性能</w:t>
            </w:r>
          </w:p>
          <w:p>
            <w:pPr>
              <w:pStyle w:val="37"/>
              <w:numPr>
                <w:ilvl w:val="0"/>
                <w:numId w:val="13"/>
              </w:numPr>
              <w:adjustRightInd w:val="0"/>
              <w:snapToGrid w:val="0"/>
              <w:ind w:firstLineChars="0"/>
              <w:rPr>
                <w:rFonts w:ascii="宋体" w:hAnsi="宋体" w:cs="宋体"/>
                <w:b w:val="0"/>
                <w:szCs w:val="21"/>
              </w:rPr>
            </w:pPr>
            <w:r>
              <w:rPr>
                <w:rFonts w:hint="eastAsia" w:ascii="宋体" w:hAnsi="宋体" w:cs="宋体"/>
                <w:b w:val="0"/>
                <w:szCs w:val="21"/>
              </w:rPr>
              <w:t>仿真软件提供与工厂相似的全局的动态特性，这些特性包括流股、压力、温度和组分的改变。</w:t>
            </w:r>
          </w:p>
          <w:p>
            <w:pPr>
              <w:pStyle w:val="37"/>
              <w:numPr>
                <w:ilvl w:val="0"/>
                <w:numId w:val="13"/>
              </w:numPr>
              <w:adjustRightInd w:val="0"/>
              <w:snapToGrid w:val="0"/>
              <w:ind w:firstLineChars="0"/>
              <w:rPr>
                <w:rFonts w:ascii="宋体" w:hAnsi="宋体" w:cs="宋体"/>
                <w:b w:val="0"/>
                <w:szCs w:val="21"/>
              </w:rPr>
            </w:pPr>
            <w:r>
              <w:rPr>
                <w:rFonts w:hint="eastAsia" w:ascii="宋体" w:hAnsi="宋体" w:cs="宋体"/>
                <w:b w:val="0"/>
                <w:szCs w:val="21"/>
              </w:rPr>
              <w:t>仿真软件能够对操作员操作、非操作员操作、不恰当的动作做出精确的响应，响应将在特定的表现边界，操作员不会看到任何明显的有别于实际控制室系统或者现场系统的响应。</w:t>
            </w:r>
          </w:p>
          <w:p>
            <w:pPr>
              <w:pStyle w:val="37"/>
              <w:numPr>
                <w:ilvl w:val="0"/>
                <w:numId w:val="13"/>
              </w:numPr>
              <w:adjustRightInd w:val="0"/>
              <w:snapToGrid w:val="0"/>
              <w:ind w:firstLineChars="0"/>
              <w:rPr>
                <w:rFonts w:ascii="宋体" w:hAnsi="宋体" w:cs="宋体"/>
                <w:bCs/>
                <w:szCs w:val="21"/>
              </w:rPr>
            </w:pPr>
            <w:r>
              <w:rPr>
                <w:rFonts w:hint="eastAsia" w:ascii="宋体" w:hAnsi="宋体" w:cs="宋体"/>
                <w:b w:val="0"/>
                <w:szCs w:val="21"/>
              </w:rPr>
              <w:t>模型精度：我方提供参数表，对所有动态和静态精度做出必要的分析和报告。模型精度包括：静态精度：对所有控制点和关键流程参数控制在+/-5%内，对于所有非关键点控制在+/-8%内，动态精度控制在+/-10%内</w:t>
            </w:r>
          </w:p>
          <w:p>
            <w:pPr>
              <w:pStyle w:val="37"/>
              <w:numPr>
                <w:ilvl w:val="0"/>
                <w:numId w:val="13"/>
              </w:numPr>
              <w:adjustRightInd w:val="0"/>
              <w:snapToGrid w:val="0"/>
              <w:ind w:firstLineChars="0"/>
              <w:rPr>
                <w:rFonts w:ascii="宋体" w:hAnsi="宋体" w:cs="宋体"/>
                <w:bCs/>
                <w:szCs w:val="21"/>
              </w:rPr>
            </w:pPr>
            <w:r>
              <w:rPr>
                <w:rFonts w:hint="eastAsia" w:ascii="宋体" w:hAnsi="宋体" w:cs="宋体"/>
                <w:b w:val="0"/>
                <w:szCs w:val="21"/>
              </w:rPr>
              <w:t>仿真软件可从冷态、稳态等任何配置状态启动。</w:t>
            </w:r>
          </w:p>
          <w:p>
            <w:pPr>
              <w:pStyle w:val="32"/>
              <w:rPr>
                <w:rFonts w:ascii="宋体" w:hAnsi="宋体" w:cs="宋体"/>
                <w:color w:val="auto"/>
                <w:szCs w:val="21"/>
              </w:rPr>
            </w:pPr>
            <w:r>
              <w:rPr>
                <w:rFonts w:hint="eastAsia" w:ascii="宋体" w:hAnsi="宋体" w:cs="宋体"/>
                <w:color w:val="auto"/>
                <w:szCs w:val="21"/>
              </w:rPr>
              <w:t>9</w:t>
            </w:r>
            <w:r>
              <w:rPr>
                <w:rFonts w:hint="eastAsia" w:ascii="宋体" w:hAnsi="宋体" w:cs="宋体"/>
                <w:color w:val="auto"/>
                <w:szCs w:val="21"/>
                <w:lang w:val="en-US" w:eastAsia="zh-CN"/>
              </w:rPr>
              <w:t>.</w:t>
            </w:r>
            <w:r>
              <w:rPr>
                <w:rFonts w:hint="eastAsia" w:ascii="宋体" w:hAnsi="宋体" w:cs="宋体"/>
                <w:color w:val="auto"/>
                <w:szCs w:val="21"/>
              </w:rPr>
              <w:t>稳态仿真建模平台 1套</w:t>
            </w:r>
            <w:r>
              <w:rPr>
                <w:rFonts w:hint="eastAsia" w:ascii="宋体" w:hAnsi="宋体" w:cs="宋体"/>
                <w:color w:val="auto"/>
                <w:szCs w:val="21"/>
              </w:rPr>
              <w:br w:type="textWrapping"/>
            </w:r>
            <w:r>
              <w:rPr>
                <w:rFonts w:hint="eastAsia" w:ascii="宋体" w:hAnsi="宋体" w:cs="宋体"/>
                <w:color w:val="auto"/>
                <w:szCs w:val="21"/>
              </w:rPr>
              <w:t>9.1</w:t>
            </w:r>
            <w:r>
              <w:rPr>
                <w:rFonts w:hint="eastAsia" w:ascii="宋体" w:hAnsi="宋体" w:cs="宋体"/>
                <w:color w:val="auto"/>
                <w:szCs w:val="21"/>
                <w:lang w:val="en-US" w:eastAsia="zh-CN"/>
              </w:rPr>
              <w:t>.</w:t>
            </w:r>
            <w:r>
              <w:rPr>
                <w:rFonts w:hint="eastAsia" w:ascii="宋体" w:hAnsi="宋体" w:cs="宋体"/>
                <w:color w:val="auto"/>
                <w:szCs w:val="21"/>
              </w:rPr>
              <w:t>整体要求</w:t>
            </w:r>
            <w:r>
              <w:rPr>
                <w:rFonts w:hint="eastAsia" w:ascii="宋体" w:hAnsi="宋体" w:cs="宋体"/>
                <w:color w:val="auto"/>
                <w:szCs w:val="21"/>
              </w:rPr>
              <w:br w:type="textWrapping"/>
            </w:r>
            <w:r>
              <w:rPr>
                <w:rFonts w:hint="eastAsia" w:ascii="宋体" w:hAnsi="宋体" w:cs="宋体"/>
                <w:color w:val="auto"/>
                <w:szCs w:val="21"/>
              </w:rPr>
              <w:t>软件为一款化工流程稳态建模软件，软件整体为中文界面，易于认知及使用。软件UI：为减少用户的学习成本，软件整体UI风格为office 2010 blue，清爽简便，左侧为树形导航，右侧为主工作区。</w:t>
            </w:r>
            <w:r>
              <w:rPr>
                <w:rFonts w:hint="eastAsia" w:ascii="宋体" w:hAnsi="宋体" w:cs="宋体"/>
                <w:color w:val="auto"/>
                <w:szCs w:val="21"/>
              </w:rPr>
              <w:br w:type="textWrapping"/>
            </w:r>
            <w:r>
              <w:rPr>
                <w:rFonts w:hint="eastAsia" w:ascii="宋体" w:hAnsi="宋体" w:cs="宋体"/>
                <w:color w:val="auto"/>
                <w:szCs w:val="21"/>
              </w:rPr>
              <w:t>配色：采用蓝色为配置正确，红色为警报色，浅绿色为有效结果的原则。</w:t>
            </w:r>
            <w:r>
              <w:rPr>
                <w:rFonts w:hint="eastAsia" w:ascii="宋体" w:hAnsi="宋体" w:cs="宋体"/>
                <w:color w:val="auto"/>
                <w:szCs w:val="21"/>
              </w:rPr>
              <w:br w:type="textWrapping"/>
            </w:r>
            <w:r>
              <w:rPr>
                <w:rFonts w:hint="eastAsia" w:ascii="宋体" w:hAnsi="宋体" w:cs="宋体"/>
                <w:color w:val="auto"/>
                <w:szCs w:val="21"/>
              </w:rPr>
              <w:t>左侧：树形导航，具有设置、组分、方法、工艺流程、流股、模块、反应、收敛、模型分析工具、结果。相关配置或结果若不正确，则由红色提示；若配置或结果则由绿色提示。</w:t>
            </w:r>
            <w:r>
              <w:rPr>
                <w:rFonts w:hint="eastAsia" w:ascii="宋体" w:hAnsi="宋体" w:cs="宋体"/>
                <w:color w:val="auto"/>
                <w:szCs w:val="21"/>
              </w:rPr>
              <w:br w:type="textWrapping"/>
            </w:r>
            <w:r>
              <w:rPr>
                <w:rFonts w:hint="eastAsia" w:ascii="宋体" w:hAnsi="宋体" w:cs="宋体"/>
                <w:color w:val="auto"/>
                <w:szCs w:val="21"/>
              </w:rPr>
              <w:t>右侧：上部为工艺流程区域，采用深灰色的图标显示，显示主工艺流程、具有鼠标滚动缩放功能，设备配置不完整或结果不正确，有红色字体提示；下部为模块区域，按照功能分类。</w:t>
            </w:r>
            <w:r>
              <w:rPr>
                <w:rFonts w:hint="eastAsia" w:ascii="宋体" w:hAnsi="宋体" w:cs="宋体"/>
                <w:color w:val="auto"/>
                <w:szCs w:val="21"/>
              </w:rPr>
              <w:br w:type="textWrapping"/>
            </w:r>
            <w:r>
              <w:rPr>
                <w:rFonts w:hint="eastAsia" w:ascii="宋体" w:hAnsi="宋体" w:cs="宋体"/>
                <w:color w:val="auto"/>
                <w:szCs w:val="21"/>
              </w:rPr>
              <w:t>9.2</w:t>
            </w:r>
            <w:r>
              <w:rPr>
                <w:rFonts w:hint="eastAsia" w:ascii="宋体" w:hAnsi="宋体" w:cs="宋体"/>
                <w:color w:val="auto"/>
                <w:szCs w:val="21"/>
                <w:lang w:val="en-US" w:eastAsia="zh-CN"/>
              </w:rPr>
              <w:t>.</w:t>
            </w:r>
            <w:r>
              <w:rPr>
                <w:rFonts w:hint="eastAsia" w:ascii="宋体" w:hAnsi="宋体" w:cs="宋体"/>
                <w:color w:val="auto"/>
                <w:szCs w:val="21"/>
              </w:rPr>
              <w:t>物性数据库及热力学物性方法</w:t>
            </w:r>
          </w:p>
          <w:p>
            <w:pPr>
              <w:pStyle w:val="32"/>
              <w:numPr>
                <w:ilvl w:val="0"/>
                <w:numId w:val="14"/>
              </w:numPr>
              <w:rPr>
                <w:rFonts w:ascii="宋体" w:hAnsi="宋体" w:cs="宋体"/>
                <w:color w:val="auto"/>
                <w:szCs w:val="21"/>
              </w:rPr>
            </w:pPr>
            <w:r>
              <w:rPr>
                <w:rFonts w:hint="eastAsia" w:ascii="宋体" w:hAnsi="宋体" w:cs="宋体"/>
                <w:color w:val="auto"/>
                <w:szCs w:val="21"/>
              </w:rPr>
              <w:t>物性数据库:不少于5000多种基础物质数据，支持自定义组分，包含相关二元交互参数。</w:t>
            </w:r>
            <w:r>
              <w:rPr>
                <w:rFonts w:hint="eastAsia" w:ascii="宋体" w:hAnsi="宋体" w:cs="宋体"/>
                <w:color w:val="auto"/>
                <w:szCs w:val="21"/>
              </w:rPr>
              <w:br w:type="textWrapping"/>
            </w:r>
            <w:r>
              <w:rPr>
                <w:rFonts w:hint="eastAsia" w:ascii="宋体" w:hAnsi="宋体" w:cs="宋体"/>
                <w:color w:val="auto"/>
                <w:szCs w:val="21"/>
              </w:rPr>
              <w:t>2）热力学物性方法：NRTL； IDEAL(RAOULT'S LAW)； PR； SRK； UNIQUAC； STEAM TABLES； UNIFAC； CHAO-SEADER； GRAYSON-STREED</w:t>
            </w:r>
            <w:r>
              <w:rPr>
                <w:rFonts w:hint="eastAsia" w:ascii="宋体" w:hAnsi="宋体" w:cs="宋体"/>
                <w:color w:val="auto"/>
                <w:szCs w:val="21"/>
              </w:rPr>
              <w:br w:type="textWrapping"/>
            </w:r>
            <w:r>
              <w:rPr>
                <w:rFonts w:hint="eastAsia" w:ascii="宋体" w:hAnsi="宋体" w:cs="宋体"/>
                <w:color w:val="auto"/>
                <w:szCs w:val="21"/>
              </w:rPr>
              <w:t>9.3</w:t>
            </w:r>
            <w:r>
              <w:rPr>
                <w:rFonts w:hint="eastAsia" w:ascii="宋体" w:hAnsi="宋体" w:cs="宋体"/>
                <w:color w:val="auto"/>
                <w:szCs w:val="21"/>
                <w:lang w:val="en-US" w:eastAsia="zh-CN"/>
              </w:rPr>
              <w:t>.</w:t>
            </w:r>
            <w:r>
              <w:rPr>
                <w:rFonts w:hint="eastAsia" w:ascii="宋体" w:hAnsi="宋体" w:cs="宋体"/>
                <w:color w:val="auto"/>
                <w:szCs w:val="21"/>
              </w:rPr>
              <w:t>模块库</w:t>
            </w:r>
            <w:r>
              <w:rPr>
                <w:rFonts w:hint="eastAsia" w:ascii="宋体" w:hAnsi="宋体" w:cs="宋体"/>
                <w:color w:val="auto"/>
                <w:szCs w:val="21"/>
              </w:rPr>
              <w:br w:type="textWrapping"/>
            </w:r>
            <w:r>
              <w:rPr>
                <w:rFonts w:hint="eastAsia" w:ascii="宋体" w:hAnsi="宋体" w:cs="宋体"/>
                <w:color w:val="auto"/>
                <w:szCs w:val="21"/>
              </w:rPr>
              <w:t>1)按照功能分类，不少于30个模块。需包括：物质流；能量流；混合分割器（流股混合器、流股分离器）；分离器罐体（气液分离器、组分分离器、储罐）；换热设备（加热器、冷却器、换热器）；塔体（简捷设计塔、精馏塔、吸收塔）；反应器（转化率反应器、平衡反应器、吉布斯反应器、连续搅拌釜、平推流反应器）；压变设备（离心泵、压缩机、透平机、阀门、管道、挡板）；逻辑模块（定义模块、循环模块、能量循环模块、控制模块）；固体分离设备（过滤器、固体分离器）。</w:t>
            </w:r>
            <w:r>
              <w:rPr>
                <w:rFonts w:hint="eastAsia" w:ascii="宋体" w:hAnsi="宋体" w:cs="宋体"/>
                <w:color w:val="auto"/>
                <w:szCs w:val="21"/>
              </w:rPr>
              <w:br w:type="textWrapping"/>
            </w:r>
            <w:r>
              <w:rPr>
                <w:rFonts w:hint="eastAsia" w:ascii="宋体" w:hAnsi="宋体" w:cs="宋体"/>
                <w:color w:val="auto"/>
                <w:szCs w:val="21"/>
              </w:rPr>
              <w:t>2)通过点击或者拖拽的方式可将模块置于工艺流程区。</w:t>
            </w:r>
            <w:r>
              <w:rPr>
                <w:rFonts w:hint="eastAsia" w:ascii="宋体" w:hAnsi="宋体" w:cs="宋体"/>
                <w:color w:val="auto"/>
                <w:szCs w:val="21"/>
              </w:rPr>
              <w:br w:type="textWrapping"/>
            </w:r>
            <w:r>
              <w:rPr>
                <w:rFonts w:hint="eastAsia" w:ascii="宋体" w:hAnsi="宋体" w:cs="宋体"/>
                <w:color w:val="auto"/>
                <w:szCs w:val="21"/>
              </w:rPr>
              <w:t>3)双击工艺流程上的模块，可进行模块的配置，配置界面为中文显示，配置界面以标签页的方式并列于工艺流程。</w:t>
            </w:r>
            <w:r>
              <w:rPr>
                <w:rFonts w:hint="eastAsia" w:ascii="宋体" w:hAnsi="宋体" w:cs="宋体"/>
                <w:color w:val="auto"/>
                <w:szCs w:val="21"/>
              </w:rPr>
              <w:br w:type="textWrapping"/>
            </w:r>
            <w:r>
              <w:rPr>
                <w:rFonts w:hint="eastAsia" w:ascii="宋体" w:hAnsi="宋体" w:cs="宋体"/>
                <w:color w:val="auto"/>
                <w:szCs w:val="21"/>
              </w:rPr>
              <w:t>4）模块库的配色为银灰色。</w:t>
            </w:r>
          </w:p>
          <w:p>
            <w:pPr>
              <w:rPr>
                <w:rFonts w:ascii="宋体" w:hAnsi="宋体" w:cs="宋体"/>
                <w:szCs w:val="21"/>
              </w:rPr>
            </w:pPr>
            <w:r>
              <w:rPr>
                <w:rFonts w:hint="eastAsia" w:ascii="宋体" w:hAnsi="宋体" w:cs="宋体"/>
                <w:szCs w:val="21"/>
              </w:rPr>
              <w:t>5）</w:t>
            </w:r>
            <w:r>
              <w:rPr>
                <w:rFonts w:hint="eastAsia" w:ascii="宋体" w:hAnsi="宋体" w:cs="宋体"/>
                <w:szCs w:val="21"/>
                <w:lang w:eastAsia="zh-Hans"/>
              </w:rPr>
              <w:t>换热器详细设计：可针对管壳式换热器进行设计、校核</w:t>
            </w:r>
            <w:r>
              <w:rPr>
                <w:rFonts w:hint="eastAsia" w:ascii="宋体" w:hAnsi="宋体" w:cs="宋体"/>
                <w:szCs w:val="21"/>
              </w:rPr>
              <w:t>，</w:t>
            </w:r>
            <w:r>
              <w:rPr>
                <w:rFonts w:hint="eastAsia" w:ascii="宋体" w:hAnsi="宋体" w:cs="宋体"/>
                <w:szCs w:val="21"/>
                <w:lang w:eastAsia="zh-Hans"/>
              </w:rPr>
              <w:t>换热网络设计与优化：</w:t>
            </w:r>
            <w:r>
              <w:rPr>
                <w:rFonts w:hint="eastAsia" w:ascii="宋体" w:hAnsi="宋体" w:cs="宋体"/>
                <w:szCs w:val="21"/>
              </w:rPr>
              <w:t>利用夹点计算对换热网络进行设计优化，</w:t>
            </w:r>
            <w:r>
              <w:rPr>
                <w:rFonts w:hint="eastAsia" w:ascii="宋体" w:hAnsi="宋体" w:cs="宋体"/>
                <w:szCs w:val="21"/>
                <w:lang w:eastAsia="zh-Hans"/>
              </w:rPr>
              <w:t>优化</w:t>
            </w:r>
            <w:r>
              <w:rPr>
                <w:rFonts w:hint="eastAsia" w:ascii="宋体" w:hAnsi="宋体" w:cs="宋体"/>
                <w:szCs w:val="21"/>
              </w:rPr>
              <w:t>流程中的公用工程使用情况。</w:t>
            </w:r>
          </w:p>
          <w:p>
            <w:pPr>
              <w:pStyle w:val="32"/>
              <w:rPr>
                <w:rFonts w:ascii="宋体" w:hAnsi="宋体" w:cs="宋体"/>
                <w:color w:val="auto"/>
                <w:szCs w:val="21"/>
              </w:rPr>
            </w:pPr>
            <w:r>
              <w:rPr>
                <w:rFonts w:hint="eastAsia" w:ascii="宋体" w:hAnsi="宋体" w:cs="宋体"/>
                <w:color w:val="auto"/>
                <w:szCs w:val="21"/>
              </w:rPr>
              <w:t>6）稳态仿真建模软件采用在线登录方式运行，学员可通过点击网页中的安装包下载并安装；学员可通过登录网页账号，安装云端的安装包，并点击运行图标按钮运行程序。在线管理授权：管理员可以登录网页后，配置N个自定义的用户名及其授权时长T；N不大于其获授权的点数；T不大于其获授权的时间。结果网页分享：当工程文件运行后，可按分享键分享到云端，生成一个网页；未安装软件的用户，也可通过网页直接查看流股模块的结果以及工艺流程图。（需现场演示）</w:t>
            </w:r>
          </w:p>
          <w:p>
            <w:pPr>
              <w:pStyle w:val="32"/>
              <w:numPr>
                <w:ilvl w:val="255"/>
                <w:numId w:val="0"/>
              </w:numPr>
              <w:rPr>
                <w:rFonts w:ascii="宋体" w:hAnsi="宋体" w:cs="宋体"/>
                <w:color w:val="auto"/>
                <w:szCs w:val="21"/>
              </w:rPr>
            </w:pPr>
            <w:r>
              <w:rPr>
                <w:rFonts w:hint="eastAsia" w:ascii="宋体" w:hAnsi="宋体" w:cs="宋体"/>
                <w:color w:val="auto"/>
                <w:szCs w:val="21"/>
              </w:rPr>
              <w:t>7)提供以下教程及案例</w:t>
            </w:r>
          </w:p>
          <w:p>
            <w:pPr>
              <w:rPr>
                <w:rFonts w:ascii="宋体" w:hAnsi="宋体" w:cs="宋体"/>
                <w:szCs w:val="21"/>
              </w:rPr>
            </w:pPr>
            <w:r>
              <w:rPr>
                <w:rFonts w:hint="eastAsia" w:ascii="宋体" w:hAnsi="宋体" w:cs="宋体"/>
                <w:szCs w:val="21"/>
              </w:rPr>
              <w:t>（1）图形界面与流程建立</w:t>
            </w:r>
          </w:p>
          <w:p>
            <w:pPr>
              <w:rPr>
                <w:rFonts w:ascii="宋体" w:hAnsi="宋体" w:cs="宋体"/>
                <w:szCs w:val="21"/>
              </w:rPr>
            </w:pPr>
            <w:r>
              <w:rPr>
                <w:rFonts w:hint="eastAsia" w:ascii="宋体" w:hAnsi="宋体" w:cs="宋体"/>
                <w:szCs w:val="21"/>
              </w:rPr>
              <w:t>（2）物性方法</w:t>
            </w:r>
          </w:p>
          <w:p>
            <w:pPr>
              <w:rPr>
                <w:rFonts w:ascii="宋体" w:hAnsi="宋体" w:cs="宋体"/>
                <w:szCs w:val="21"/>
              </w:rPr>
            </w:pPr>
            <w:r>
              <w:rPr>
                <w:rFonts w:hint="eastAsia" w:ascii="宋体" w:hAnsi="宋体" w:cs="宋体"/>
                <w:szCs w:val="21"/>
              </w:rPr>
              <w:t>（3）简单单元模拟</w:t>
            </w:r>
          </w:p>
          <w:p>
            <w:pPr>
              <w:rPr>
                <w:rFonts w:ascii="宋体" w:hAnsi="宋体" w:cs="宋体"/>
                <w:szCs w:val="21"/>
              </w:rPr>
            </w:pPr>
            <w:r>
              <w:rPr>
                <w:rFonts w:hint="eastAsia" w:ascii="宋体" w:hAnsi="宋体" w:cs="宋体"/>
                <w:szCs w:val="21"/>
              </w:rPr>
              <w:t>（4）流体输送单元模拟</w:t>
            </w:r>
          </w:p>
          <w:p>
            <w:pPr>
              <w:rPr>
                <w:rFonts w:ascii="宋体" w:hAnsi="宋体" w:cs="宋体"/>
                <w:szCs w:val="21"/>
              </w:rPr>
            </w:pPr>
            <w:r>
              <w:rPr>
                <w:rFonts w:hint="eastAsia" w:ascii="宋体" w:hAnsi="宋体" w:cs="宋体"/>
                <w:szCs w:val="21"/>
              </w:rPr>
              <w:t>（5）换热器单元模拟</w:t>
            </w:r>
          </w:p>
          <w:p>
            <w:pPr>
              <w:rPr>
                <w:rFonts w:ascii="宋体" w:hAnsi="宋体" w:cs="宋体"/>
                <w:szCs w:val="21"/>
              </w:rPr>
            </w:pPr>
            <w:r>
              <w:rPr>
                <w:rFonts w:hint="eastAsia" w:ascii="宋体" w:hAnsi="宋体" w:cs="宋体"/>
                <w:szCs w:val="21"/>
              </w:rPr>
              <w:t>（6）分离单元模拟</w:t>
            </w:r>
          </w:p>
          <w:p>
            <w:pPr>
              <w:rPr>
                <w:rFonts w:ascii="宋体" w:hAnsi="宋体" w:cs="宋体"/>
                <w:szCs w:val="21"/>
              </w:rPr>
            </w:pPr>
            <w:r>
              <w:rPr>
                <w:rFonts w:hint="eastAsia" w:ascii="宋体" w:hAnsi="宋体" w:cs="宋体"/>
                <w:szCs w:val="21"/>
              </w:rPr>
              <w:t>（7）反应器单元模拟</w:t>
            </w:r>
          </w:p>
          <w:p>
            <w:pPr>
              <w:rPr>
                <w:rFonts w:ascii="宋体" w:hAnsi="宋体" w:cs="宋体"/>
                <w:szCs w:val="21"/>
              </w:rPr>
            </w:pPr>
            <w:r>
              <w:rPr>
                <w:rFonts w:hint="eastAsia" w:ascii="宋体" w:hAnsi="宋体" w:cs="宋体"/>
                <w:szCs w:val="21"/>
              </w:rPr>
              <w:t>（8）流程选项和模型分析工具</w:t>
            </w:r>
          </w:p>
          <w:p>
            <w:pPr>
              <w:rPr>
                <w:rFonts w:ascii="宋体" w:hAnsi="宋体" w:cs="宋体"/>
                <w:szCs w:val="21"/>
              </w:rPr>
            </w:pPr>
            <w:r>
              <w:rPr>
                <w:rFonts w:hint="eastAsia" w:ascii="宋体" w:hAnsi="宋体" w:cs="宋体"/>
                <w:szCs w:val="21"/>
              </w:rPr>
              <w:t>（9）工艺流程模拟</w:t>
            </w:r>
          </w:p>
          <w:p>
            <w:pPr>
              <w:pStyle w:val="2"/>
              <w:spacing w:after="0"/>
              <w:ind w:left="0" w:leftChars="0" w:firstLine="210" w:firstLineChars="100"/>
              <w:rPr>
                <w:rFonts w:ascii="宋体" w:hAnsi="宋体" w:cs="宋体"/>
                <w:kern w:val="0"/>
                <w:sz w:val="21"/>
                <w:szCs w:val="21"/>
                <w:lang w:eastAsia="zh-CN"/>
              </w:rPr>
            </w:pP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26" w:type="dxa"/>
            <w:vAlign w:val="center"/>
          </w:tcPr>
          <w:p>
            <w:pPr>
              <w:pStyle w:val="31"/>
              <w:spacing w:line="300" w:lineRule="auto"/>
              <w:ind w:left="7"/>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5</w:t>
            </w:r>
          </w:p>
        </w:tc>
        <w:tc>
          <w:tcPr>
            <w:tcW w:w="1105" w:type="dxa"/>
          </w:tcPr>
          <w:p>
            <w:pPr>
              <w:pStyle w:val="32"/>
              <w:spacing w:line="360" w:lineRule="auto"/>
              <w:jc w:val="center"/>
              <w:rPr>
                <w:rFonts w:ascii="宋体" w:hAnsi="宋体" w:cs="宋体"/>
                <w:color w:val="auto"/>
                <w:szCs w:val="21"/>
              </w:rPr>
            </w:pPr>
          </w:p>
          <w:p>
            <w:pPr>
              <w:pStyle w:val="32"/>
              <w:spacing w:line="360" w:lineRule="auto"/>
              <w:jc w:val="center"/>
              <w:rPr>
                <w:rFonts w:ascii="宋体" w:hAnsi="宋体" w:cs="宋体"/>
                <w:color w:val="auto"/>
                <w:szCs w:val="21"/>
              </w:rPr>
            </w:pPr>
          </w:p>
          <w:p>
            <w:pPr>
              <w:pStyle w:val="32"/>
              <w:spacing w:line="360" w:lineRule="auto"/>
              <w:jc w:val="center"/>
              <w:rPr>
                <w:rFonts w:ascii="宋体" w:hAnsi="宋体" w:cs="宋体"/>
                <w:color w:val="auto"/>
                <w:szCs w:val="21"/>
              </w:rPr>
            </w:pPr>
          </w:p>
          <w:p>
            <w:pPr>
              <w:pStyle w:val="32"/>
              <w:spacing w:line="360" w:lineRule="auto"/>
              <w:jc w:val="center"/>
              <w:rPr>
                <w:rFonts w:ascii="宋体" w:hAnsi="宋体" w:cs="宋体"/>
                <w:color w:val="auto"/>
                <w:szCs w:val="21"/>
              </w:rPr>
            </w:pPr>
          </w:p>
          <w:p>
            <w:pPr>
              <w:pStyle w:val="32"/>
              <w:spacing w:line="360" w:lineRule="auto"/>
              <w:jc w:val="center"/>
              <w:rPr>
                <w:rFonts w:ascii="宋体" w:hAnsi="宋体" w:cs="宋体"/>
                <w:color w:val="auto"/>
                <w:szCs w:val="21"/>
              </w:rPr>
            </w:pPr>
          </w:p>
          <w:p>
            <w:pPr>
              <w:pStyle w:val="32"/>
              <w:spacing w:line="360" w:lineRule="auto"/>
              <w:rPr>
                <w:rFonts w:ascii="宋体" w:hAnsi="宋体" w:cs="宋体"/>
                <w:color w:val="auto"/>
                <w:szCs w:val="21"/>
              </w:rPr>
            </w:pPr>
          </w:p>
          <w:p>
            <w:pPr>
              <w:pStyle w:val="32"/>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szCs w:val="21"/>
              </w:rPr>
              <w:t>氟产业链3D</w:t>
            </w:r>
            <w:r>
              <w:rPr>
                <w:rFonts w:hint="eastAsia" w:ascii="宋体" w:hAnsi="宋体" w:cs="宋体"/>
                <w:color w:val="auto"/>
                <w:szCs w:val="21"/>
                <w:lang w:val="en-US" w:eastAsia="zh-CN"/>
              </w:rPr>
              <w:t>展示视频</w:t>
            </w:r>
          </w:p>
        </w:tc>
        <w:tc>
          <w:tcPr>
            <w:tcW w:w="7168" w:type="dxa"/>
            <w:vAlign w:val="center"/>
          </w:tcPr>
          <w:p>
            <w:pPr>
              <w:spacing w:line="240" w:lineRule="auto"/>
              <w:rPr>
                <w:rFonts w:ascii="宋体" w:hAnsi="宋体" w:cs="宋体"/>
                <w:iCs/>
                <w:szCs w:val="21"/>
              </w:rPr>
            </w:pPr>
            <w:bookmarkStart w:id="6" w:name="_Toc21721"/>
            <w:r>
              <w:rPr>
                <w:rFonts w:hint="eastAsia" w:ascii="宋体" w:hAnsi="宋体" w:cs="宋体"/>
                <w:szCs w:val="21"/>
              </w:rPr>
              <w:t>1</w:t>
            </w:r>
            <w:r>
              <w:rPr>
                <w:rFonts w:hint="eastAsia" w:ascii="宋体" w:hAnsi="宋体" w:cs="宋体"/>
                <w:iCs/>
                <w:szCs w:val="21"/>
              </w:rPr>
              <w:t>.展示方式</w:t>
            </w:r>
            <w:bookmarkEnd w:id="6"/>
            <w:r>
              <w:rPr>
                <w:rFonts w:hint="eastAsia" w:ascii="宋体" w:hAnsi="宋体" w:cs="宋体"/>
                <w:iCs/>
                <w:szCs w:val="21"/>
              </w:rPr>
              <w:t>要求</w:t>
            </w:r>
          </w:p>
          <w:p>
            <w:pPr>
              <w:spacing w:line="240" w:lineRule="auto"/>
              <w:rPr>
                <w:rFonts w:ascii="宋体" w:hAnsi="宋体" w:cs="宋体"/>
                <w:iCs/>
                <w:szCs w:val="21"/>
              </w:rPr>
            </w:pPr>
            <w:r>
              <w:rPr>
                <w:rFonts w:hint="eastAsia" w:ascii="宋体" w:hAnsi="宋体" w:cs="宋体"/>
                <w:iCs/>
                <w:szCs w:val="21"/>
              </w:rPr>
              <w:t>三维动画方式，通过三维动画，直观展示萤石、氟化氢、制冷剂、聚合物在产业链中的分布情况。</w:t>
            </w:r>
          </w:p>
          <w:p>
            <w:pPr>
              <w:spacing w:line="240" w:lineRule="auto"/>
              <w:rPr>
                <w:rFonts w:ascii="宋体" w:hAnsi="宋体" w:cs="宋体"/>
                <w:iCs/>
                <w:szCs w:val="21"/>
              </w:rPr>
            </w:pPr>
            <w:bookmarkStart w:id="7" w:name="_Toc7767"/>
            <w:r>
              <w:rPr>
                <w:rFonts w:hint="eastAsia" w:ascii="宋体" w:hAnsi="宋体" w:cs="宋体"/>
                <w:iCs/>
                <w:szCs w:val="21"/>
              </w:rPr>
              <w:t>2.性能参数</w:t>
            </w:r>
            <w:bookmarkEnd w:id="7"/>
            <w:r>
              <w:rPr>
                <w:rFonts w:hint="eastAsia" w:ascii="宋体" w:hAnsi="宋体" w:cs="宋体"/>
                <w:iCs/>
                <w:szCs w:val="21"/>
              </w:rPr>
              <w:t>要求</w:t>
            </w:r>
          </w:p>
          <w:p>
            <w:pPr>
              <w:spacing w:line="240" w:lineRule="auto"/>
              <w:rPr>
                <w:rFonts w:ascii="宋体" w:hAnsi="宋体" w:cs="宋体"/>
                <w:iCs/>
                <w:szCs w:val="21"/>
              </w:rPr>
            </w:pPr>
            <w:r>
              <w:rPr>
                <w:rFonts w:hint="eastAsia" w:ascii="宋体" w:hAnsi="宋体" w:cs="宋体"/>
                <w:iCs/>
                <w:szCs w:val="21"/>
              </w:rPr>
              <w:t>动画性能参数需不低于如下要求：</w:t>
            </w:r>
          </w:p>
          <w:p>
            <w:pPr>
              <w:spacing w:line="240" w:lineRule="auto"/>
              <w:rPr>
                <w:rFonts w:ascii="宋体" w:hAnsi="宋体" w:cs="宋体"/>
                <w:iCs/>
                <w:szCs w:val="21"/>
              </w:rPr>
            </w:pPr>
            <w:bookmarkStart w:id="8" w:name="_Toc15888"/>
            <w:r>
              <w:rPr>
                <w:rFonts w:hint="eastAsia" w:ascii="宋体" w:hAnsi="宋体" w:cs="宋体"/>
                <w:iCs/>
                <w:szCs w:val="21"/>
              </w:rPr>
              <w:t>分辨率：1920*1080</w:t>
            </w:r>
            <w:bookmarkEnd w:id="8"/>
            <w:r>
              <w:rPr>
                <w:rFonts w:hint="eastAsia" w:ascii="宋体" w:hAnsi="宋体" w:cs="宋体"/>
                <w:iCs/>
                <w:szCs w:val="21"/>
              </w:rPr>
              <w:t xml:space="preserve"> </w:t>
            </w:r>
          </w:p>
          <w:p>
            <w:pPr>
              <w:spacing w:line="240" w:lineRule="auto"/>
              <w:rPr>
                <w:rFonts w:ascii="宋体" w:hAnsi="宋体" w:cs="宋体"/>
                <w:iCs/>
                <w:szCs w:val="21"/>
              </w:rPr>
            </w:pPr>
            <w:bookmarkStart w:id="9" w:name="_Toc20922"/>
            <w:r>
              <w:rPr>
                <w:rFonts w:hint="eastAsia" w:ascii="宋体" w:hAnsi="宋体" w:cs="宋体"/>
                <w:iCs/>
                <w:szCs w:val="21"/>
              </w:rPr>
              <w:t>帧速率：30帧/秒</w:t>
            </w:r>
            <w:bookmarkEnd w:id="9"/>
          </w:p>
          <w:p>
            <w:pPr>
              <w:spacing w:line="240" w:lineRule="auto"/>
              <w:rPr>
                <w:rFonts w:ascii="宋体" w:hAnsi="宋体" w:cs="宋体"/>
                <w:szCs w:val="21"/>
              </w:rPr>
            </w:pPr>
            <w:bookmarkStart w:id="10" w:name="_Toc18408"/>
            <w:r>
              <w:rPr>
                <w:rFonts w:hint="eastAsia" w:ascii="宋体" w:hAnsi="宋体" w:cs="宋体"/>
                <w:szCs w:val="21"/>
              </w:rPr>
              <w:t>格式：MP4</w:t>
            </w:r>
            <w:bookmarkEnd w:id="10"/>
          </w:p>
          <w:p>
            <w:pPr>
              <w:spacing w:line="240" w:lineRule="auto"/>
              <w:rPr>
                <w:rFonts w:ascii="宋体" w:hAnsi="宋体" w:cs="宋体"/>
                <w:szCs w:val="21"/>
              </w:rPr>
            </w:pPr>
            <w:bookmarkStart w:id="11" w:name="_Toc29898"/>
            <w:r>
              <w:rPr>
                <w:rFonts w:hint="eastAsia" w:ascii="宋体" w:hAnsi="宋体" w:cs="宋体"/>
                <w:szCs w:val="21"/>
              </w:rPr>
              <w:t>3.镜头方式</w:t>
            </w:r>
            <w:bookmarkEnd w:id="11"/>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包含推镜头、拉镜头、摇镜头、移镜头、固定镜头</w:t>
            </w:r>
          </w:p>
          <w:p>
            <w:pPr>
              <w:spacing w:line="240" w:lineRule="auto"/>
              <w:rPr>
                <w:rFonts w:ascii="宋体" w:hAnsi="宋体" w:cs="宋体"/>
                <w:szCs w:val="21"/>
              </w:rPr>
            </w:pPr>
            <w:bookmarkStart w:id="12" w:name="_Toc5904"/>
            <w:r>
              <w:rPr>
                <w:rFonts w:hint="eastAsia" w:ascii="宋体" w:hAnsi="宋体" w:cs="宋体"/>
                <w:szCs w:val="21"/>
              </w:rPr>
              <w:t>4.画面景别</w:t>
            </w:r>
            <w:bookmarkEnd w:id="12"/>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包含全景、中景、近景、特写</w:t>
            </w:r>
          </w:p>
          <w:p>
            <w:pPr>
              <w:spacing w:line="240" w:lineRule="auto"/>
              <w:rPr>
                <w:rFonts w:ascii="宋体" w:hAnsi="宋体" w:cs="宋体"/>
                <w:szCs w:val="21"/>
              </w:rPr>
            </w:pPr>
            <w:bookmarkStart w:id="13" w:name="_Toc28652"/>
            <w:r>
              <w:rPr>
                <w:rFonts w:hint="eastAsia" w:ascii="宋体" w:hAnsi="宋体" w:cs="宋体"/>
                <w:szCs w:val="21"/>
              </w:rPr>
              <w:t>5.表现形式</w:t>
            </w:r>
            <w:bookmarkEnd w:id="13"/>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包含3d模型动画+背景音乐+旁白陈述+文字描述</w:t>
            </w:r>
          </w:p>
          <w:p>
            <w:pPr>
              <w:spacing w:line="240" w:lineRule="auto"/>
              <w:rPr>
                <w:rFonts w:ascii="宋体" w:hAnsi="宋体" w:cs="宋体"/>
                <w:szCs w:val="21"/>
              </w:rPr>
            </w:pPr>
            <w:bookmarkStart w:id="14" w:name="_Toc14081"/>
            <w:r>
              <w:rPr>
                <w:rFonts w:hint="eastAsia" w:ascii="宋体" w:hAnsi="宋体" w:cs="宋体"/>
                <w:szCs w:val="21"/>
              </w:rPr>
              <w:t>音频频道：2（立体声）</w:t>
            </w:r>
            <w:bookmarkEnd w:id="14"/>
          </w:p>
          <w:p>
            <w:pPr>
              <w:spacing w:line="240" w:lineRule="auto"/>
              <w:rPr>
                <w:rFonts w:ascii="宋体" w:hAnsi="宋体" w:cs="宋体"/>
                <w:szCs w:val="21"/>
              </w:rPr>
            </w:pPr>
            <w:bookmarkStart w:id="15" w:name="_Toc31410"/>
            <w:r>
              <w:rPr>
                <w:rFonts w:hint="eastAsia" w:ascii="宋体" w:hAnsi="宋体" w:cs="宋体"/>
                <w:szCs w:val="21"/>
              </w:rPr>
              <w:t>音频采样频率：44.1KHz、48KHz</w:t>
            </w:r>
            <w:bookmarkEnd w:id="15"/>
          </w:p>
          <w:p>
            <w:pPr>
              <w:spacing w:line="240" w:lineRule="auto"/>
              <w:rPr>
                <w:rFonts w:ascii="宋体" w:hAnsi="宋体" w:cs="宋体"/>
                <w:szCs w:val="21"/>
              </w:rPr>
            </w:pPr>
            <w:bookmarkStart w:id="16" w:name="_Toc31488"/>
            <w:r>
              <w:rPr>
                <w:rFonts w:hint="eastAsia" w:ascii="宋体" w:hAnsi="宋体" w:cs="宋体"/>
                <w:szCs w:val="21"/>
              </w:rPr>
              <w:t>6.动画内容</w:t>
            </w:r>
            <w:bookmarkEnd w:id="16"/>
            <w:r>
              <w:rPr>
                <w:rFonts w:hint="eastAsia" w:ascii="宋体" w:hAnsi="宋体" w:cs="宋体"/>
                <w:szCs w:val="21"/>
              </w:rPr>
              <w:t>要求</w:t>
            </w:r>
            <w:r>
              <w:rPr>
                <w:rFonts w:hint="eastAsia" w:ascii="宋体" w:hAnsi="宋体" w:cs="宋体"/>
                <w:szCs w:val="21"/>
              </w:rPr>
              <w:tab/>
            </w:r>
          </w:p>
          <w:p>
            <w:pPr>
              <w:spacing w:line="240" w:lineRule="auto"/>
              <w:rPr>
                <w:rFonts w:ascii="宋体" w:hAnsi="宋体" w:cs="宋体"/>
                <w:kern w:val="0"/>
                <w:szCs w:val="21"/>
              </w:rPr>
            </w:pPr>
            <w:r>
              <w:rPr>
                <w:rFonts w:hint="eastAsia" w:ascii="宋体" w:hAnsi="宋体" w:cs="宋体"/>
                <w:szCs w:val="21"/>
              </w:rPr>
              <w:t>氟产业链需包含萤石、氢氟酸、制冷剂、聚合物在产业链中的分布情况。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26" w:type="dxa"/>
            <w:vAlign w:val="center"/>
          </w:tcPr>
          <w:p>
            <w:pPr>
              <w:pStyle w:val="31"/>
              <w:spacing w:line="300" w:lineRule="auto"/>
              <w:ind w:left="7"/>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6</w:t>
            </w:r>
          </w:p>
        </w:tc>
        <w:tc>
          <w:tcPr>
            <w:tcW w:w="1105" w:type="dxa"/>
          </w:tcPr>
          <w:p>
            <w:pPr>
              <w:pStyle w:val="32"/>
              <w:spacing w:line="360" w:lineRule="auto"/>
              <w:jc w:val="center"/>
              <w:rPr>
                <w:rFonts w:ascii="宋体" w:hAnsi="宋体" w:cs="宋体"/>
                <w:color w:val="auto"/>
                <w:szCs w:val="21"/>
              </w:rPr>
            </w:pPr>
          </w:p>
          <w:p>
            <w:pPr>
              <w:pStyle w:val="32"/>
              <w:spacing w:line="360" w:lineRule="auto"/>
              <w:jc w:val="center"/>
              <w:rPr>
                <w:rFonts w:ascii="宋体" w:hAnsi="宋体" w:cs="宋体"/>
                <w:color w:val="auto"/>
                <w:szCs w:val="21"/>
              </w:rPr>
            </w:pPr>
          </w:p>
          <w:p>
            <w:pPr>
              <w:pStyle w:val="32"/>
              <w:spacing w:line="360" w:lineRule="auto"/>
              <w:jc w:val="left"/>
              <w:rPr>
                <w:rFonts w:ascii="宋体" w:hAnsi="宋体" w:cs="宋体"/>
                <w:color w:val="auto"/>
                <w:szCs w:val="21"/>
              </w:rPr>
            </w:pPr>
          </w:p>
          <w:p>
            <w:pPr>
              <w:pStyle w:val="32"/>
              <w:spacing w:line="360" w:lineRule="auto"/>
              <w:jc w:val="left"/>
              <w:rPr>
                <w:rFonts w:ascii="宋体" w:hAnsi="宋体" w:cs="宋体"/>
                <w:color w:val="auto"/>
                <w:kern w:val="0"/>
                <w:szCs w:val="21"/>
              </w:rPr>
            </w:pPr>
            <w:r>
              <w:rPr>
                <w:rFonts w:hint="eastAsia" w:ascii="宋体" w:hAnsi="宋体" w:cs="宋体"/>
                <w:color w:val="auto"/>
                <w:szCs w:val="21"/>
              </w:rPr>
              <w:t>硅产业链3D</w:t>
            </w:r>
            <w:r>
              <w:rPr>
                <w:rFonts w:hint="eastAsia" w:ascii="宋体" w:hAnsi="宋体" w:cs="宋体"/>
                <w:color w:val="auto"/>
                <w:szCs w:val="21"/>
                <w:lang w:val="en-US" w:eastAsia="zh-CN"/>
              </w:rPr>
              <w:t>展示视频</w:t>
            </w:r>
          </w:p>
        </w:tc>
        <w:tc>
          <w:tcPr>
            <w:tcW w:w="7168" w:type="dxa"/>
            <w:vAlign w:val="center"/>
          </w:tcPr>
          <w:p>
            <w:pPr>
              <w:spacing w:line="240" w:lineRule="auto"/>
              <w:rPr>
                <w:rFonts w:ascii="宋体" w:hAnsi="宋体" w:cs="宋体"/>
                <w:szCs w:val="21"/>
              </w:rPr>
            </w:pPr>
            <w:bookmarkStart w:id="17" w:name="_Toc15359"/>
            <w:r>
              <w:rPr>
                <w:rFonts w:hint="eastAsia" w:ascii="宋体" w:hAnsi="宋体" w:cs="宋体"/>
                <w:szCs w:val="21"/>
              </w:rPr>
              <w:t>1.展示方式</w:t>
            </w:r>
            <w:bookmarkEnd w:id="17"/>
            <w:r>
              <w:rPr>
                <w:rFonts w:hint="eastAsia" w:ascii="宋体" w:hAnsi="宋体" w:cs="宋体"/>
                <w:szCs w:val="21"/>
              </w:rPr>
              <w:t>要求</w:t>
            </w:r>
          </w:p>
          <w:p>
            <w:pPr>
              <w:spacing w:line="240" w:lineRule="auto"/>
              <w:jc w:val="left"/>
              <w:rPr>
                <w:rFonts w:ascii="宋体" w:hAnsi="宋体" w:cs="宋体"/>
                <w:szCs w:val="21"/>
              </w:rPr>
            </w:pPr>
            <w:r>
              <w:rPr>
                <w:rFonts w:hint="eastAsia" w:ascii="宋体" w:hAnsi="宋体" w:cs="宋体"/>
                <w:szCs w:val="21"/>
              </w:rPr>
              <w:t>三维动画方式，通过三维动画，直观展示硅合金、多晶硅、有机硅、碳化硅、石英晶体、硅微粉、玻璃制品等在产业链中的分布情况。</w:t>
            </w:r>
          </w:p>
          <w:p>
            <w:pPr>
              <w:spacing w:line="240" w:lineRule="auto"/>
              <w:rPr>
                <w:rFonts w:ascii="宋体" w:hAnsi="宋体" w:cs="宋体"/>
                <w:szCs w:val="21"/>
              </w:rPr>
            </w:pPr>
            <w:bookmarkStart w:id="18" w:name="_Toc20428"/>
            <w:r>
              <w:rPr>
                <w:rFonts w:hint="eastAsia" w:ascii="宋体" w:hAnsi="宋体" w:cs="宋体"/>
                <w:szCs w:val="21"/>
              </w:rPr>
              <w:t>2性能参数</w:t>
            </w:r>
            <w:bookmarkEnd w:id="18"/>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动画性能参数需不低于如下要求：</w:t>
            </w:r>
          </w:p>
          <w:p>
            <w:pPr>
              <w:spacing w:line="240" w:lineRule="auto"/>
              <w:rPr>
                <w:rFonts w:ascii="宋体" w:hAnsi="宋体" w:cs="宋体"/>
                <w:szCs w:val="21"/>
              </w:rPr>
            </w:pPr>
            <w:bookmarkStart w:id="19" w:name="_Toc694"/>
            <w:r>
              <w:rPr>
                <w:rFonts w:hint="eastAsia" w:ascii="宋体" w:hAnsi="宋体" w:cs="宋体"/>
                <w:szCs w:val="21"/>
              </w:rPr>
              <w:t>分辨率：1920*1080</w:t>
            </w:r>
            <w:bookmarkEnd w:id="19"/>
            <w:r>
              <w:rPr>
                <w:rFonts w:hint="eastAsia" w:ascii="宋体" w:hAnsi="宋体" w:cs="宋体"/>
                <w:szCs w:val="21"/>
              </w:rPr>
              <w:t xml:space="preserve"> </w:t>
            </w:r>
          </w:p>
          <w:p>
            <w:pPr>
              <w:spacing w:line="240" w:lineRule="auto"/>
              <w:rPr>
                <w:rFonts w:ascii="宋体" w:hAnsi="宋体" w:cs="宋体"/>
                <w:szCs w:val="21"/>
              </w:rPr>
            </w:pPr>
            <w:bookmarkStart w:id="20" w:name="_Toc20341"/>
            <w:r>
              <w:rPr>
                <w:rFonts w:hint="eastAsia" w:ascii="宋体" w:hAnsi="宋体" w:cs="宋体"/>
                <w:szCs w:val="21"/>
              </w:rPr>
              <w:t>帧速率：30帧/秒</w:t>
            </w:r>
            <w:bookmarkEnd w:id="20"/>
          </w:p>
          <w:p>
            <w:pPr>
              <w:spacing w:line="240" w:lineRule="auto"/>
              <w:rPr>
                <w:rFonts w:ascii="宋体" w:hAnsi="宋体" w:cs="宋体"/>
                <w:szCs w:val="21"/>
              </w:rPr>
            </w:pPr>
            <w:bookmarkStart w:id="21" w:name="_Toc26483"/>
            <w:r>
              <w:rPr>
                <w:rFonts w:hint="eastAsia" w:ascii="宋体" w:hAnsi="宋体" w:cs="宋体"/>
                <w:szCs w:val="21"/>
              </w:rPr>
              <w:t>格式：MP4</w:t>
            </w:r>
            <w:bookmarkEnd w:id="21"/>
          </w:p>
          <w:p>
            <w:pPr>
              <w:spacing w:line="240" w:lineRule="auto"/>
              <w:rPr>
                <w:rFonts w:ascii="宋体" w:hAnsi="宋体" w:cs="宋体"/>
                <w:szCs w:val="21"/>
              </w:rPr>
            </w:pPr>
            <w:bookmarkStart w:id="22" w:name="_Toc22709"/>
            <w:r>
              <w:rPr>
                <w:rFonts w:hint="eastAsia" w:ascii="宋体" w:hAnsi="宋体" w:cs="宋体"/>
                <w:szCs w:val="21"/>
              </w:rPr>
              <w:t>3.镜头方式</w:t>
            </w:r>
            <w:bookmarkEnd w:id="22"/>
            <w:r>
              <w:rPr>
                <w:rFonts w:hint="eastAsia" w:ascii="宋体" w:hAnsi="宋体" w:cs="宋体"/>
                <w:szCs w:val="21"/>
              </w:rPr>
              <w:t>要求</w:t>
            </w:r>
          </w:p>
          <w:p>
            <w:pPr>
              <w:spacing w:line="240" w:lineRule="auto"/>
              <w:jc w:val="left"/>
              <w:rPr>
                <w:rFonts w:ascii="宋体" w:hAnsi="宋体" w:cs="宋体"/>
                <w:szCs w:val="21"/>
              </w:rPr>
            </w:pPr>
            <w:r>
              <w:rPr>
                <w:rFonts w:hint="eastAsia" w:ascii="宋体" w:hAnsi="宋体" w:cs="宋体"/>
                <w:szCs w:val="21"/>
              </w:rPr>
              <w:t>包含推镜头、拉镜头、摇镜头、移镜头、固定镜头</w:t>
            </w:r>
          </w:p>
          <w:p>
            <w:pPr>
              <w:spacing w:line="240" w:lineRule="auto"/>
              <w:rPr>
                <w:rFonts w:ascii="宋体" w:hAnsi="宋体" w:cs="宋体"/>
                <w:szCs w:val="21"/>
              </w:rPr>
            </w:pPr>
            <w:bookmarkStart w:id="23" w:name="_Toc32108"/>
            <w:r>
              <w:rPr>
                <w:rFonts w:hint="eastAsia" w:ascii="宋体" w:hAnsi="宋体" w:cs="宋体"/>
                <w:szCs w:val="21"/>
              </w:rPr>
              <w:t>4.画面景别</w:t>
            </w:r>
            <w:bookmarkEnd w:id="23"/>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包含全景、中景、近景、特写</w:t>
            </w:r>
          </w:p>
          <w:p>
            <w:pPr>
              <w:spacing w:line="240" w:lineRule="auto"/>
              <w:rPr>
                <w:rFonts w:ascii="宋体" w:hAnsi="宋体" w:cs="宋体"/>
                <w:szCs w:val="21"/>
              </w:rPr>
            </w:pPr>
            <w:bookmarkStart w:id="24" w:name="_Toc31038"/>
            <w:r>
              <w:rPr>
                <w:rFonts w:hint="eastAsia" w:ascii="宋体" w:hAnsi="宋体" w:cs="宋体"/>
                <w:szCs w:val="21"/>
              </w:rPr>
              <w:t>5.表现形式</w:t>
            </w:r>
            <w:bookmarkEnd w:id="24"/>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包含3d模型动画+背景音乐+旁白陈述+文字描述</w:t>
            </w:r>
          </w:p>
          <w:p>
            <w:pPr>
              <w:spacing w:line="240" w:lineRule="auto"/>
              <w:rPr>
                <w:rFonts w:ascii="宋体" w:hAnsi="宋体" w:cs="宋体"/>
                <w:szCs w:val="21"/>
              </w:rPr>
            </w:pPr>
            <w:bookmarkStart w:id="25" w:name="_Toc3481"/>
            <w:r>
              <w:rPr>
                <w:rFonts w:hint="eastAsia" w:ascii="宋体" w:hAnsi="宋体" w:cs="宋体"/>
                <w:szCs w:val="21"/>
              </w:rPr>
              <w:t>音频频道：2（立体声）</w:t>
            </w:r>
            <w:bookmarkEnd w:id="25"/>
          </w:p>
          <w:p>
            <w:pPr>
              <w:spacing w:line="240" w:lineRule="auto"/>
              <w:rPr>
                <w:rFonts w:ascii="宋体" w:hAnsi="宋体" w:cs="宋体"/>
                <w:szCs w:val="21"/>
              </w:rPr>
            </w:pPr>
            <w:bookmarkStart w:id="26" w:name="_Toc10250"/>
            <w:r>
              <w:rPr>
                <w:rFonts w:hint="eastAsia" w:ascii="宋体" w:hAnsi="宋体" w:cs="宋体"/>
                <w:szCs w:val="21"/>
              </w:rPr>
              <w:t>音频采样频率：44.1KHz、48KHz</w:t>
            </w:r>
            <w:bookmarkEnd w:id="26"/>
          </w:p>
          <w:p>
            <w:pPr>
              <w:spacing w:line="240" w:lineRule="auto"/>
              <w:rPr>
                <w:rFonts w:ascii="宋体" w:hAnsi="宋体" w:cs="宋体"/>
                <w:szCs w:val="21"/>
              </w:rPr>
            </w:pPr>
            <w:bookmarkStart w:id="27" w:name="_Toc17756"/>
            <w:r>
              <w:rPr>
                <w:rFonts w:hint="eastAsia" w:ascii="宋体" w:hAnsi="宋体" w:cs="宋体"/>
                <w:szCs w:val="21"/>
              </w:rPr>
              <w:t>6.动画内容</w:t>
            </w:r>
            <w:bookmarkEnd w:id="27"/>
            <w:r>
              <w:rPr>
                <w:rFonts w:hint="eastAsia" w:ascii="宋体" w:hAnsi="宋体" w:cs="宋体"/>
                <w:szCs w:val="21"/>
              </w:rPr>
              <w:t>要求</w:t>
            </w:r>
            <w:r>
              <w:rPr>
                <w:rFonts w:hint="eastAsia" w:ascii="宋体" w:hAnsi="宋体" w:cs="宋体"/>
                <w:szCs w:val="21"/>
              </w:rPr>
              <w:tab/>
            </w:r>
          </w:p>
          <w:p>
            <w:pPr>
              <w:spacing w:line="240" w:lineRule="auto"/>
              <w:rPr>
                <w:rFonts w:ascii="宋体" w:hAnsi="宋体" w:cs="宋体"/>
                <w:kern w:val="0"/>
                <w:szCs w:val="21"/>
              </w:rPr>
            </w:pPr>
            <w:r>
              <w:rPr>
                <w:rFonts w:hint="eastAsia" w:ascii="宋体" w:hAnsi="宋体" w:cs="宋体"/>
                <w:szCs w:val="21"/>
              </w:rPr>
              <w:t>硅产业链需包含硅合金、多晶硅、有机硅、碳化硅、石英晶体、硅微粉、玻璃制品等。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7" w:hRule="atLeast"/>
        </w:trPr>
        <w:tc>
          <w:tcPr>
            <w:tcW w:w="526" w:type="dxa"/>
            <w:vAlign w:val="center"/>
          </w:tcPr>
          <w:p>
            <w:pPr>
              <w:pStyle w:val="31"/>
              <w:spacing w:line="300" w:lineRule="auto"/>
              <w:ind w:left="7"/>
              <w:jc w:val="center"/>
              <w:rPr>
                <w:rFonts w:ascii="宋体" w:hAnsi="宋体" w:eastAsia="宋体" w:cs="宋体"/>
                <w:kern w:val="0"/>
                <w:szCs w:val="21"/>
                <w:lang w:val="en-US" w:bidi="ar-SA"/>
              </w:rPr>
            </w:pPr>
            <w:r>
              <w:rPr>
                <w:rFonts w:hint="eastAsia" w:ascii="宋体" w:hAnsi="宋体" w:eastAsia="宋体" w:cs="宋体"/>
                <w:kern w:val="0"/>
                <w:szCs w:val="21"/>
                <w:lang w:val="en-US" w:bidi="ar-SA"/>
              </w:rPr>
              <w:t>7</w:t>
            </w:r>
          </w:p>
        </w:tc>
        <w:tc>
          <w:tcPr>
            <w:tcW w:w="1105" w:type="dxa"/>
          </w:tcPr>
          <w:p>
            <w:pPr>
              <w:pStyle w:val="32"/>
              <w:jc w:val="center"/>
              <w:rPr>
                <w:rFonts w:ascii="宋体" w:hAnsi="宋体" w:cs="宋体"/>
                <w:color w:val="auto"/>
                <w:szCs w:val="21"/>
              </w:rPr>
            </w:pPr>
          </w:p>
          <w:p>
            <w:pPr>
              <w:pStyle w:val="32"/>
              <w:jc w:val="center"/>
              <w:rPr>
                <w:rFonts w:ascii="宋体" w:hAnsi="宋体" w:cs="宋体"/>
                <w:color w:val="auto"/>
                <w:szCs w:val="21"/>
              </w:rPr>
            </w:pPr>
          </w:p>
          <w:p>
            <w:pPr>
              <w:pStyle w:val="32"/>
              <w:jc w:val="center"/>
              <w:rPr>
                <w:rFonts w:ascii="宋体" w:hAnsi="宋体" w:cs="宋体"/>
                <w:color w:val="auto"/>
                <w:szCs w:val="21"/>
              </w:rPr>
            </w:pPr>
          </w:p>
          <w:p>
            <w:pPr>
              <w:pStyle w:val="32"/>
              <w:jc w:val="center"/>
              <w:rPr>
                <w:rFonts w:ascii="宋体" w:hAnsi="宋体" w:cs="宋体"/>
                <w:color w:val="auto"/>
                <w:szCs w:val="21"/>
              </w:rPr>
            </w:pPr>
          </w:p>
          <w:p>
            <w:pPr>
              <w:pStyle w:val="32"/>
              <w:jc w:val="center"/>
              <w:rPr>
                <w:rFonts w:ascii="宋体" w:hAnsi="宋体" w:cs="宋体"/>
                <w:color w:val="auto"/>
                <w:szCs w:val="21"/>
              </w:rPr>
            </w:pPr>
          </w:p>
          <w:p>
            <w:pPr>
              <w:pStyle w:val="32"/>
              <w:jc w:val="center"/>
              <w:rPr>
                <w:rFonts w:ascii="宋体" w:hAnsi="宋体" w:cs="宋体"/>
                <w:color w:val="auto"/>
                <w:kern w:val="0"/>
                <w:szCs w:val="21"/>
              </w:rPr>
            </w:pPr>
            <w:r>
              <w:rPr>
                <w:rFonts w:hint="eastAsia" w:ascii="宋体" w:hAnsi="宋体" w:cs="宋体"/>
                <w:color w:val="auto"/>
                <w:szCs w:val="21"/>
              </w:rPr>
              <w:t>钴产业链3D</w:t>
            </w:r>
            <w:r>
              <w:rPr>
                <w:rFonts w:hint="eastAsia" w:ascii="宋体" w:hAnsi="宋体" w:cs="宋体"/>
                <w:color w:val="auto"/>
                <w:szCs w:val="21"/>
                <w:lang w:val="en-US" w:eastAsia="zh-CN"/>
              </w:rPr>
              <w:t>展示视频</w:t>
            </w:r>
          </w:p>
        </w:tc>
        <w:tc>
          <w:tcPr>
            <w:tcW w:w="7168" w:type="dxa"/>
            <w:vAlign w:val="center"/>
          </w:tcPr>
          <w:p>
            <w:pPr>
              <w:spacing w:line="240" w:lineRule="auto"/>
              <w:rPr>
                <w:rFonts w:ascii="宋体" w:hAnsi="宋体" w:cs="宋体"/>
                <w:szCs w:val="21"/>
              </w:rPr>
            </w:pPr>
            <w:bookmarkStart w:id="28" w:name="_Toc24458"/>
            <w:r>
              <w:rPr>
                <w:rFonts w:hint="eastAsia" w:ascii="宋体" w:hAnsi="宋体" w:cs="宋体"/>
                <w:szCs w:val="21"/>
              </w:rPr>
              <w:t>1.展示方式</w:t>
            </w:r>
            <w:bookmarkEnd w:id="28"/>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三维动画方式，通过三维动画，直观展示钴产业链的现状及发展趋势。</w:t>
            </w:r>
          </w:p>
          <w:p>
            <w:pPr>
              <w:spacing w:line="240" w:lineRule="auto"/>
              <w:rPr>
                <w:rFonts w:ascii="宋体" w:hAnsi="宋体" w:cs="宋体"/>
                <w:szCs w:val="21"/>
              </w:rPr>
            </w:pPr>
            <w:bookmarkStart w:id="29" w:name="_Toc718"/>
            <w:r>
              <w:rPr>
                <w:rFonts w:hint="eastAsia" w:ascii="宋体" w:hAnsi="宋体" w:cs="宋体"/>
                <w:szCs w:val="21"/>
              </w:rPr>
              <w:t>2.性能参数</w:t>
            </w:r>
            <w:bookmarkEnd w:id="29"/>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动画性能参数需不低于如下要求。</w:t>
            </w:r>
          </w:p>
          <w:p>
            <w:pPr>
              <w:spacing w:line="240" w:lineRule="auto"/>
              <w:rPr>
                <w:rFonts w:ascii="宋体" w:hAnsi="宋体" w:cs="宋体"/>
                <w:szCs w:val="21"/>
              </w:rPr>
            </w:pPr>
            <w:bookmarkStart w:id="30" w:name="_Toc17037"/>
            <w:r>
              <w:rPr>
                <w:rFonts w:hint="eastAsia" w:ascii="宋体" w:hAnsi="宋体" w:cs="宋体"/>
                <w:szCs w:val="21"/>
              </w:rPr>
              <w:t>分辨率：1920*1080</w:t>
            </w:r>
            <w:bookmarkEnd w:id="30"/>
            <w:r>
              <w:rPr>
                <w:rFonts w:hint="eastAsia" w:ascii="宋体" w:hAnsi="宋体" w:cs="宋体"/>
                <w:szCs w:val="21"/>
              </w:rPr>
              <w:t xml:space="preserve"> </w:t>
            </w:r>
          </w:p>
          <w:p>
            <w:pPr>
              <w:spacing w:line="240" w:lineRule="auto"/>
              <w:rPr>
                <w:rFonts w:ascii="宋体" w:hAnsi="宋体" w:cs="宋体"/>
                <w:szCs w:val="21"/>
              </w:rPr>
            </w:pPr>
            <w:bookmarkStart w:id="31" w:name="_Toc28702"/>
            <w:r>
              <w:rPr>
                <w:rFonts w:hint="eastAsia" w:ascii="宋体" w:hAnsi="宋体" w:cs="宋体"/>
                <w:szCs w:val="21"/>
              </w:rPr>
              <w:t>帧速率：30帧/秒</w:t>
            </w:r>
            <w:bookmarkEnd w:id="31"/>
          </w:p>
          <w:p>
            <w:pPr>
              <w:spacing w:line="240" w:lineRule="auto"/>
              <w:rPr>
                <w:rFonts w:ascii="宋体" w:hAnsi="宋体" w:cs="宋体"/>
                <w:szCs w:val="21"/>
              </w:rPr>
            </w:pPr>
            <w:bookmarkStart w:id="32" w:name="_Toc9394"/>
            <w:r>
              <w:rPr>
                <w:rFonts w:hint="eastAsia" w:ascii="宋体" w:hAnsi="宋体" w:cs="宋体"/>
                <w:szCs w:val="21"/>
              </w:rPr>
              <w:t>格式：MP4</w:t>
            </w:r>
            <w:bookmarkEnd w:id="32"/>
          </w:p>
          <w:p>
            <w:pPr>
              <w:spacing w:line="240" w:lineRule="auto"/>
              <w:rPr>
                <w:rFonts w:ascii="宋体" w:hAnsi="宋体" w:cs="宋体"/>
                <w:szCs w:val="21"/>
              </w:rPr>
            </w:pPr>
            <w:bookmarkStart w:id="33" w:name="_Toc1036"/>
            <w:r>
              <w:rPr>
                <w:rFonts w:hint="eastAsia" w:ascii="宋体" w:hAnsi="宋体" w:cs="宋体"/>
                <w:szCs w:val="21"/>
              </w:rPr>
              <w:t>3.镜头方式</w:t>
            </w:r>
            <w:bookmarkEnd w:id="33"/>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包含推镜头、拉镜头、摇镜头、移镜头、固定镜头</w:t>
            </w:r>
          </w:p>
          <w:p>
            <w:pPr>
              <w:spacing w:line="240" w:lineRule="auto"/>
              <w:rPr>
                <w:rFonts w:ascii="宋体" w:hAnsi="宋体" w:cs="宋体"/>
                <w:szCs w:val="21"/>
              </w:rPr>
            </w:pPr>
            <w:bookmarkStart w:id="34" w:name="_Toc4076"/>
            <w:r>
              <w:rPr>
                <w:rFonts w:hint="eastAsia" w:ascii="宋体" w:hAnsi="宋体" w:cs="宋体"/>
                <w:szCs w:val="21"/>
              </w:rPr>
              <w:t>4.画面景别</w:t>
            </w:r>
            <w:bookmarkEnd w:id="34"/>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包含全景、中景、近景、特写</w:t>
            </w:r>
          </w:p>
          <w:p>
            <w:pPr>
              <w:spacing w:line="240" w:lineRule="auto"/>
              <w:rPr>
                <w:rFonts w:ascii="宋体" w:hAnsi="宋体" w:cs="宋体"/>
                <w:szCs w:val="21"/>
              </w:rPr>
            </w:pPr>
            <w:bookmarkStart w:id="35" w:name="_Toc19191"/>
            <w:r>
              <w:rPr>
                <w:rFonts w:hint="eastAsia" w:ascii="宋体" w:hAnsi="宋体" w:cs="宋体"/>
                <w:szCs w:val="21"/>
              </w:rPr>
              <w:t>5.表现形式</w:t>
            </w:r>
            <w:bookmarkEnd w:id="35"/>
            <w:r>
              <w:rPr>
                <w:rFonts w:hint="eastAsia" w:ascii="宋体" w:hAnsi="宋体" w:cs="宋体"/>
                <w:szCs w:val="21"/>
              </w:rPr>
              <w:t>要求</w:t>
            </w:r>
          </w:p>
          <w:p>
            <w:pPr>
              <w:spacing w:line="240" w:lineRule="auto"/>
              <w:rPr>
                <w:rFonts w:ascii="宋体" w:hAnsi="宋体" w:cs="宋体"/>
                <w:szCs w:val="21"/>
              </w:rPr>
            </w:pPr>
            <w:r>
              <w:rPr>
                <w:rFonts w:hint="eastAsia" w:ascii="宋体" w:hAnsi="宋体" w:cs="宋体"/>
                <w:szCs w:val="21"/>
              </w:rPr>
              <w:t>包含3d模型动画+背景音乐+旁白陈述+文字描述</w:t>
            </w:r>
          </w:p>
          <w:p>
            <w:pPr>
              <w:spacing w:line="240" w:lineRule="auto"/>
              <w:rPr>
                <w:rFonts w:ascii="宋体" w:hAnsi="宋体" w:cs="宋体"/>
                <w:szCs w:val="21"/>
              </w:rPr>
            </w:pPr>
            <w:bookmarkStart w:id="36" w:name="_Toc10373"/>
            <w:r>
              <w:rPr>
                <w:rFonts w:hint="eastAsia" w:ascii="宋体" w:hAnsi="宋体" w:cs="宋体"/>
                <w:szCs w:val="21"/>
              </w:rPr>
              <w:t>音频频道：2（立体声）</w:t>
            </w:r>
            <w:bookmarkEnd w:id="36"/>
          </w:p>
          <w:p>
            <w:pPr>
              <w:spacing w:line="240" w:lineRule="auto"/>
              <w:rPr>
                <w:rFonts w:ascii="宋体" w:hAnsi="宋体" w:cs="宋体"/>
                <w:szCs w:val="21"/>
              </w:rPr>
            </w:pPr>
            <w:bookmarkStart w:id="37" w:name="_Toc9149"/>
            <w:r>
              <w:rPr>
                <w:rFonts w:hint="eastAsia" w:ascii="宋体" w:hAnsi="宋体" w:cs="宋体"/>
                <w:szCs w:val="21"/>
              </w:rPr>
              <w:t>音频采样频率：44.1KHz、48KHz</w:t>
            </w:r>
            <w:bookmarkEnd w:id="37"/>
          </w:p>
          <w:p>
            <w:pPr>
              <w:spacing w:line="240" w:lineRule="auto"/>
              <w:rPr>
                <w:rFonts w:ascii="宋体" w:hAnsi="宋体" w:cs="宋体"/>
                <w:szCs w:val="21"/>
              </w:rPr>
            </w:pPr>
            <w:bookmarkStart w:id="38" w:name="_Toc30366"/>
            <w:r>
              <w:rPr>
                <w:rFonts w:hint="eastAsia" w:ascii="宋体" w:hAnsi="宋体" w:cs="宋体"/>
                <w:szCs w:val="21"/>
              </w:rPr>
              <w:t>6.动画内容</w:t>
            </w:r>
            <w:bookmarkEnd w:id="38"/>
            <w:r>
              <w:rPr>
                <w:rFonts w:hint="eastAsia" w:ascii="宋体" w:hAnsi="宋体" w:cs="宋体"/>
                <w:szCs w:val="21"/>
              </w:rPr>
              <w:t>要求</w:t>
            </w:r>
            <w:r>
              <w:rPr>
                <w:rFonts w:hint="eastAsia" w:ascii="宋体" w:hAnsi="宋体" w:cs="宋体"/>
                <w:szCs w:val="21"/>
              </w:rPr>
              <w:tab/>
            </w:r>
          </w:p>
          <w:p>
            <w:pPr>
              <w:spacing w:line="240" w:lineRule="auto"/>
              <w:rPr>
                <w:rFonts w:ascii="宋体" w:hAnsi="宋体" w:eastAsia="宋体" w:cs="宋体"/>
                <w:kern w:val="0"/>
                <w:szCs w:val="21"/>
                <w:lang w:bidi="ar-SA"/>
              </w:rPr>
            </w:pPr>
            <w:r>
              <w:rPr>
                <w:rFonts w:hint="eastAsia" w:ascii="宋体" w:hAnsi="宋体" w:cs="宋体"/>
                <w:szCs w:val="21"/>
              </w:rPr>
              <w:t>钴产业链需包含钴的生产、钴的消费等。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526" w:type="dxa"/>
            <w:vAlign w:val="center"/>
          </w:tcPr>
          <w:p>
            <w:pPr>
              <w:pStyle w:val="31"/>
              <w:spacing w:line="300" w:lineRule="auto"/>
              <w:ind w:left="7"/>
              <w:jc w:val="center"/>
              <w:rPr>
                <w:rFonts w:hint="eastAsia" w:ascii="宋体" w:hAnsi="宋体" w:eastAsia="宋体" w:cs="宋体"/>
                <w:kern w:val="0"/>
                <w:szCs w:val="21"/>
                <w:lang w:val="en-US" w:eastAsia="zh-CN" w:bidi="ar-SA"/>
              </w:rPr>
            </w:pPr>
            <w:r>
              <w:rPr>
                <w:rFonts w:hint="eastAsia" w:ascii="宋体" w:hAnsi="宋体" w:eastAsia="宋体" w:cs="宋体"/>
                <w:kern w:val="0"/>
                <w:szCs w:val="21"/>
                <w:lang w:val="en-US" w:eastAsia="zh-CN" w:bidi="ar-SA"/>
              </w:rPr>
              <w:t>8</w:t>
            </w:r>
          </w:p>
        </w:tc>
        <w:tc>
          <w:tcPr>
            <w:tcW w:w="1105" w:type="dxa"/>
          </w:tcPr>
          <w:p>
            <w:pPr>
              <w:pStyle w:val="32"/>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其它附件配置</w:t>
            </w:r>
          </w:p>
        </w:tc>
        <w:tc>
          <w:tcPr>
            <w:tcW w:w="7168" w:type="dxa"/>
            <w:vAlign w:val="center"/>
          </w:tcPr>
          <w:p>
            <w:pPr>
              <w:pStyle w:val="31"/>
              <w:numPr>
                <w:ilvl w:val="0"/>
                <w:numId w:val="0"/>
              </w:numPr>
              <w:spacing w:line="240" w:lineRule="auto"/>
              <w:rPr>
                <w:rFonts w:hint="default" w:ascii="宋体" w:hAnsi="宋体" w:eastAsia="宋体" w:cs="宋体"/>
                <w:kern w:val="0"/>
                <w:szCs w:val="21"/>
                <w:lang w:val="en-US" w:eastAsia="zh-CN" w:bidi="ar-SA"/>
              </w:rPr>
            </w:pPr>
            <w:r>
              <w:rPr>
                <w:rFonts w:hint="eastAsia" w:ascii="宋体" w:hAnsi="宋体" w:eastAsia="宋体" w:cs="宋体"/>
                <w:kern w:val="0"/>
                <w:szCs w:val="21"/>
                <w:lang w:val="en-US" w:eastAsia="zh-CN" w:bidi="ar-SA"/>
              </w:rPr>
              <w:t>多功能一体打印机2台，自动双面打印，连续复印，连续扫描，无线连接</w:t>
            </w:r>
          </w:p>
        </w:tc>
      </w:tr>
    </w:tbl>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9"/>
        <w:spacing w:line="360" w:lineRule="auto"/>
        <w:ind w:firstLine="480" w:firstLineChars="200"/>
        <w:rPr>
          <w:rFonts w:hint="eastAsia" w:ascii="宋体" w:hAnsi="宋体"/>
          <w:color w:val="FF0000"/>
          <w:sz w:val="24"/>
          <w:szCs w:val="24"/>
        </w:rPr>
      </w:pPr>
      <w:r>
        <w:rPr>
          <w:rFonts w:hint="eastAsia" w:ascii="宋体" w:hAnsi="宋体" w:cs="宋体"/>
          <w:color w:val="FF0000"/>
          <w:sz w:val="24"/>
          <w:szCs w:val="24"/>
        </w:rPr>
        <w:t>4.投标人分2次对对招标人进行培训，设备验收前进行</w:t>
      </w:r>
      <w:r>
        <w:rPr>
          <w:rFonts w:hint="eastAsia" w:ascii="宋体" w:hAnsi="宋体"/>
          <w:color w:val="FF0000"/>
          <w:sz w:val="24"/>
          <w:szCs w:val="24"/>
        </w:rPr>
        <w:t>一次不少于2天的现场操作和维护培训；培训应能使操作技术人员熟练掌握和维护保养相关技术，具有保证设备正常运行和排除设备一般故障的能力。设备验收后每半年对设备进行1次检修。</w:t>
      </w:r>
    </w:p>
    <w:p>
      <w:pPr>
        <w:pStyle w:val="9"/>
        <w:spacing w:line="360" w:lineRule="auto"/>
        <w:ind w:firstLine="480" w:firstLineChars="200"/>
        <w:rPr>
          <w:rFonts w:hint="default" w:ascii="宋体" w:hAnsi="宋体"/>
          <w:color w:val="FF0000"/>
          <w:sz w:val="24"/>
          <w:szCs w:val="24"/>
          <w:lang w:val="en-US" w:eastAsia="zh-CN"/>
        </w:rPr>
      </w:pPr>
      <w:r>
        <w:rPr>
          <w:rFonts w:hint="eastAsia" w:ascii="宋体" w:hAnsi="宋体"/>
          <w:color w:val="FF0000"/>
          <w:sz w:val="24"/>
          <w:szCs w:val="24"/>
          <w:lang w:val="en-US" w:eastAsia="zh-CN"/>
        </w:rPr>
        <w:t>5.演示内容说明</w:t>
      </w:r>
    </w:p>
    <w:p>
      <w:pPr>
        <w:pStyle w:val="2"/>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现场演示实验室安全检查该模块模拟存在安全隐患的多个实验场景，用户可以通过找茬的方式进行安全隐患排查。用户可以设置挑战的图片数量和总用时，单张图片的检查时间最长为10秒。设定时间内找到错误点会显示正确的状态，并在2秒后进入下一张图片。此次检查正常得分。未能在10秒内找到错误点则不显示正确状态，2秒后自动进入下一张，此次检查不得分。最大查找数量不大于50，图片内容可以添加。</w:t>
      </w:r>
    </w:p>
    <w:p>
      <w:pPr>
        <w:pStyle w:val="2"/>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现场演示化学药品鉴别模块，会随机给出化学药品名称，用户需要进行危险类别判断，并选择合适的标志，试剂瓶或消防用具。进入“化学药品鉴别”实验界面后，需分别点击安全标志，试剂瓶，灭火器三个实验内容，在弹出相应内容中进行选择。被选择物品进入已选列表，也可以从已选列表中删除物品。鉴别数可以自由设置，但是不超过50。每个鉴别时间可自由设置，但是最多设置200秒。</w:t>
      </w:r>
    </w:p>
    <w:p>
      <w:pPr>
        <w:pStyle w:val="2"/>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现场演示危险化学试剂个人防护用品选择，进入系统，使用者先选择可能遇到的危险化学品，可选择有机过氧化物，腐蚀品，易燃液体，压缩空气，有毒品5类。选定一类过后，进去防护品选择。每一类危险化学试剂，对应12个正确的防护用品。</w:t>
      </w:r>
    </w:p>
    <w:p>
      <w:pPr>
        <w:pStyle w:val="2"/>
        <w:ind w:left="0" w:leftChars="0" w:firstLine="420" w:firstLineChars="2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现场演示安全设备模型组合，此模块需要对安全设备模型进行学习组合，每个模型会被分成不同的图块，，用户需把图块按照正确的顺序组装起来安全设备不少于50个，包含：消防警铃，防火沙桶，液氮罐，手套箱，氧气瓶，马弗炉，气动减压阀，防爆废液桶，通风橱，氮气瓶，AED机，离心机，灭火毯，可燃气体检测器，烘箱，灭火器，洗眼器，防毒面具，微博反应器等。</w:t>
      </w:r>
    </w:p>
    <w:p>
      <w:pPr>
        <w:pStyle w:val="2"/>
        <w:ind w:left="0" w:leftChars="0" w:firstLine="420" w:firstLineChars="2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稳态仿真建模软件采用在线登录方式运行，学员可通过点击网页中的安装包下载并安装；学员可通过登录网页账号，安装云端的安装包，并点击运行图标按钮运行程序。在线管理授权：管理员可以登录网页后，配置N个自定义的用户名及其授权时长T；N不大于其获授权的点数；T不大于其获授权的时间。结果网页分享：当工程文件运行后，可按分享键分享到云端，生成一个网页；未安装软件的用户，也可通过网页直接查看流股模块的结果以及工艺流程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Cs w:val="21"/>
        </w:rPr>
      </w:pPr>
      <w:r>
        <w:rPr>
          <w:rFonts w:hint="eastAsia" w:ascii="宋体" w:hAnsi="宋体"/>
          <w:color w:val="FF0000"/>
          <w:sz w:val="24"/>
          <w:szCs w:val="24"/>
          <w:lang w:val="en-US" w:eastAsia="zh-CN"/>
        </w:rPr>
        <w:t>6.关于典型化工厂3D虚拟现实生产实习仿真软件（PX）</w:t>
      </w:r>
    </w:p>
    <w:p>
      <w:pPr>
        <w:pStyle w:val="4"/>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Times New Roman"/>
          <w:color w:val="FF0000"/>
          <w:kern w:val="2"/>
          <w:sz w:val="24"/>
          <w:szCs w:val="24"/>
          <w:lang w:val="en-US" w:eastAsia="zh-CN" w:bidi="ar-SA"/>
        </w:rPr>
      </w:pPr>
      <w:r>
        <w:rPr>
          <w:rFonts w:hint="eastAsia" w:ascii="宋体" w:hAnsi="宋体" w:eastAsia="宋体" w:cs="Times New Roman"/>
          <w:color w:val="FF0000"/>
          <w:kern w:val="2"/>
          <w:sz w:val="24"/>
          <w:szCs w:val="24"/>
          <w:lang w:val="en-US" w:eastAsia="zh-CN" w:bidi="ar-SA"/>
        </w:rPr>
        <w:t>1）投标方需要在招标文件中提供详细的PX装置工艺流程图（仿真软件的工艺流程必须与本招标文件要求流程一致）。</w:t>
      </w:r>
    </w:p>
    <w:p>
      <w:pPr>
        <w:pStyle w:val="4"/>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default" w:ascii="宋体" w:hAnsi="宋体" w:eastAsia="宋体" w:cs="Times New Roman"/>
          <w:color w:val="FF0000"/>
          <w:kern w:val="2"/>
          <w:sz w:val="24"/>
          <w:szCs w:val="24"/>
          <w:lang w:val="en-US" w:eastAsia="zh-CN" w:bidi="ar-SA"/>
        </w:rPr>
      </w:pPr>
      <w:r>
        <w:rPr>
          <w:rFonts w:hint="eastAsia" w:ascii="宋体" w:hAnsi="宋体" w:eastAsia="宋体" w:cs="Times New Roman"/>
          <w:color w:val="FF0000"/>
          <w:kern w:val="2"/>
          <w:sz w:val="24"/>
          <w:szCs w:val="24"/>
          <w:lang w:val="en-US" w:eastAsia="zh-CN" w:bidi="ar-SA"/>
        </w:rPr>
        <w:t>2）投标人需提供稳态仿真建模平台的自主知识产权并提供相应的软件著作权登记证书扫描件，该自主知识产权软件需为国内软件且能满足参加全国大学生化工设计大赛。</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rFonts w:hint="eastAsia"/>
          <w:b/>
          <w:bCs/>
          <w:color w:val="FF0000"/>
          <w:sz w:val="24"/>
          <w:lang w:val="en-US" w:eastAsia="zh-CN"/>
        </w:rPr>
        <w:t>90</w:t>
      </w:r>
      <w:r>
        <w:rPr>
          <w:rFonts w:hint="eastAsia"/>
          <w:b/>
          <w:bCs/>
          <w:color w:val="FF0000"/>
          <w:sz w:val="24"/>
        </w:rPr>
        <w:t>天</w:t>
      </w:r>
      <w:r>
        <w:rPr>
          <w:rFonts w:hint="eastAsia"/>
          <w:b/>
          <w:bCs/>
          <w:color w:val="000000"/>
          <w:sz w:val="24"/>
        </w:rPr>
        <w:t>内完成供货安装，</w:t>
      </w:r>
      <w:r>
        <w:rPr>
          <w:rFonts w:hint="eastAsia"/>
          <w:b/>
          <w:bCs/>
          <w:color w:val="FF0000"/>
          <w:sz w:val="24"/>
        </w:rPr>
        <w:t>质保期三年</w:t>
      </w:r>
      <w:r>
        <w:rPr>
          <w:rFonts w:hint="eastAsia"/>
          <w:b/>
          <w:bCs/>
          <w:color w:val="000000"/>
          <w:sz w:val="24"/>
        </w:rPr>
        <w:t>，自项目运行验收合格之日</w:t>
      </w:r>
      <w:r>
        <w:rPr>
          <w:rFonts w:hint="eastAsia" w:hAnsi="宋体"/>
          <w:b/>
          <w:bCs/>
          <w:color w:val="000000" w:themeColor="text1"/>
          <w:sz w:val="24"/>
          <w14:textFill>
            <w14:solidFill>
              <w14:schemeClr w14:val="tx1"/>
            </w14:solidFill>
          </w14:textFill>
        </w:rPr>
        <w:t>开始</w:t>
      </w:r>
      <w:r>
        <w:rPr>
          <w:rFonts w:hint="eastAsia"/>
          <w:b/>
          <w:bCs/>
          <w:color w:val="000000"/>
          <w:sz w:val="24"/>
        </w:rPr>
        <w:t>计算。</w:t>
      </w:r>
      <w:bookmarkStart w:id="39" w:name="_Hlk66699712"/>
    </w:p>
    <w:bookmarkEnd w:id="39"/>
    <w:p>
      <w:pPr>
        <w:widowControl/>
        <w:spacing w:line="360" w:lineRule="auto"/>
        <w:ind w:firstLine="482" w:firstLineChars="200"/>
        <w:jc w:val="left"/>
        <w:rPr>
          <w:rFonts w:hint="eastAsia" w:eastAsia="宋体"/>
          <w:b/>
          <w:color w:val="000000"/>
          <w:kern w:val="0"/>
          <w:sz w:val="24"/>
          <w:lang w:eastAsia="zh-CN"/>
        </w:rPr>
      </w:pPr>
      <w:r>
        <w:rPr>
          <w:b/>
          <w:bCs/>
          <w:color w:val="000000"/>
          <w:sz w:val="24"/>
        </w:rPr>
        <w:t>注：</w:t>
      </w:r>
      <w:r>
        <w:rPr>
          <w:b/>
          <w:color w:val="000000"/>
          <w:kern w:val="0"/>
          <w:sz w:val="24"/>
        </w:rPr>
        <w:t>1.核心产品为</w:t>
      </w:r>
      <w:r>
        <w:rPr>
          <w:rFonts w:hint="eastAsia"/>
          <w:b/>
          <w:color w:val="000000"/>
          <w:kern w:val="0"/>
          <w:sz w:val="24"/>
          <w:lang w:eastAsia="zh-CN"/>
        </w:rPr>
        <w:t>：</w:t>
      </w:r>
      <w:r>
        <w:rPr>
          <w:b/>
          <w:color w:val="000000"/>
          <w:kern w:val="0"/>
          <w:sz w:val="24"/>
        </w:rPr>
        <w:t>实验室安全虚拟现实3D培训考试系统</w:t>
      </w:r>
      <w:r>
        <w:rPr>
          <w:rFonts w:hint="eastAsia"/>
          <w:b/>
          <w:color w:val="000000"/>
          <w:kern w:val="0"/>
          <w:sz w:val="24"/>
          <w:lang w:eastAsia="zh-CN"/>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hint="eastAsia" w:ascii="宋体" w:hAnsi="宋体" w:cs="宋体"/>
          <w:b/>
          <w:color w:val="000000"/>
          <w:sz w:val="32"/>
        </w:rPr>
      </w:pPr>
    </w:p>
    <w:p>
      <w:pPr>
        <w:spacing w:line="360" w:lineRule="auto"/>
        <w:jc w:val="center"/>
        <w:rPr>
          <w:rFonts w:ascii="宋体" w:hAnsi="宋体" w:cs="宋体"/>
          <w:b/>
          <w:bCs/>
          <w:color w:val="000000"/>
          <w:sz w:val="24"/>
        </w:rPr>
      </w:pPr>
      <w:r>
        <w:rPr>
          <w:rFonts w:hint="eastAsia" w:ascii="宋体" w:hAnsi="宋体" w:cs="宋体"/>
          <w:b/>
          <w:color w:val="000000"/>
          <w:sz w:val="32"/>
        </w:rPr>
        <w:t>第四章  合同主要条款</w:t>
      </w:r>
    </w:p>
    <w:p>
      <w:pPr>
        <w:spacing w:line="360" w:lineRule="auto"/>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实验安全教育及氟硅钴产业动画演示虚拟仿真项目采购合同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宋体" w:cs="宋体"/>
          <w:b/>
          <w:color w:val="000000"/>
          <w:sz w:val="24"/>
        </w:rPr>
        <w:t>实验安全教育及氟硅钴产业动画演示虚拟仿真</w:t>
      </w:r>
      <w:r>
        <w:rPr>
          <w:rFonts w:hint="eastAsia" w:cs="宋体"/>
          <w:b/>
          <w:color w:val="000000"/>
          <w:sz w:val="24"/>
          <w:lang w:eastAsia="zh-CN"/>
        </w:rPr>
        <w:t>软件一批</w:t>
      </w:r>
      <w:r>
        <w:rPr>
          <w:rFonts w:hint="eastAsia"/>
          <w:color w:val="000000" w:themeColor="text1"/>
          <w:kern w:val="2"/>
          <w14:textFill>
            <w14:solidFill>
              <w14:schemeClr w14:val="tx1"/>
            </w14:solidFill>
          </w14:textFill>
        </w:rPr>
        <w:t>，经双方协商一致本着平等自愿的原则签订本合同。</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1"/>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11"/>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11"/>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8"/>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1"/>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11"/>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11"/>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1"/>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11"/>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6"/>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6"/>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6"/>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6"/>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6"/>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6"/>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6"/>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lang w:val="en-US" w:eastAsia="zh-CN"/>
        </w:rPr>
        <w:t>2</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FF0000"/>
          <w:sz w:val="24"/>
          <w:szCs w:val="24"/>
          <w:highlight w:val="yellow"/>
        </w:rPr>
        <w:t>36个月</w:t>
      </w:r>
      <w:r>
        <w:rPr>
          <w:rFonts w:hint="eastAsia" w:hAnsi="宋体"/>
          <w:color w:val="000000" w:themeColor="text1"/>
          <w:sz w:val="24"/>
          <w:szCs w:val="24"/>
          <w14:textFill>
            <w14:solidFill>
              <w14:schemeClr w14:val="tx1"/>
            </w14:solidFill>
          </w14:textFill>
        </w:rPr>
        <w:t>。如因甲方原因导致不能及时安装的，产品的质保期自运行验收通过之日起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6"/>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6"/>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3"/>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lang w:val="en-US" w:eastAsia="zh-CN"/>
        </w:rPr>
        <w:t>90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3"/>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left"/>
        <w:rPr>
          <w:rFonts w:ascii="宋体" w:hAnsi="宋体"/>
          <w:color w:val="000000"/>
          <w:sz w:val="24"/>
          <w:highlight w:val="yellow"/>
        </w:rPr>
      </w:pPr>
      <w:r>
        <w:rPr>
          <w:rFonts w:hint="eastAsia" w:ascii="宋体" w:hAnsi="宋体" w:cs="宋体"/>
          <w:color w:val="000000"/>
          <w:sz w:val="24"/>
        </w:rPr>
        <w:t>1.</w:t>
      </w:r>
      <w:r>
        <w:rPr>
          <w:rFonts w:hint="eastAsia" w:ascii="宋体" w:hAnsi="宋体"/>
          <w:color w:val="000000"/>
          <w:sz w:val="24"/>
          <w:highlight w:val="yellow"/>
        </w:rPr>
        <w:t>乙方缴纳合同总价的</w:t>
      </w:r>
      <w:r>
        <w:rPr>
          <w:rFonts w:hint="eastAsia" w:ascii="宋体" w:hAnsi="宋体"/>
          <w:color w:val="000000"/>
          <w:sz w:val="24"/>
          <w:highlight w:val="yellow"/>
          <w:lang w:val="en-US" w:eastAsia="zh-CN"/>
        </w:rPr>
        <w:t>1</w:t>
      </w:r>
      <w:r>
        <w:rPr>
          <w:rFonts w:hint="eastAsia" w:ascii="宋体" w:hAnsi="宋体"/>
          <w:color w:val="000000"/>
          <w:sz w:val="24"/>
          <w:highlight w:val="yellow"/>
        </w:rPr>
        <w:t>%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6"/>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2"/>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1"/>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11"/>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6"/>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40" w:name="_Hlk41297247"/>
      <w:r>
        <w:rPr>
          <w:color w:val="000000"/>
          <w:sz w:val="24"/>
        </w:rPr>
        <w:t>，投标人应派代表参加询标</w:t>
      </w:r>
      <w:bookmarkEnd w:id="40"/>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3"/>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1"/>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11"/>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11"/>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11"/>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11"/>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11"/>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15"/>
        <w:ind w:left="2250" w:hanging="1200"/>
      </w:pPr>
    </w:p>
    <w:p/>
    <w:p>
      <w:pPr>
        <w:pStyle w:val="15"/>
        <w:ind w:left="2250" w:hanging="1200"/>
      </w:pPr>
    </w:p>
    <w:p/>
    <w:p/>
    <w:p>
      <w:pPr>
        <w:numPr>
          <w:ilvl w:val="0"/>
          <w:numId w:val="3"/>
        </w:numPr>
        <w:spacing w:line="360" w:lineRule="auto"/>
        <w:ind w:firstLine="482" w:firstLineChars="200"/>
        <w:rPr>
          <w:b/>
          <w:color w:val="000000"/>
          <w:sz w:val="24"/>
        </w:rPr>
      </w:pPr>
      <w:r>
        <w:rPr>
          <w:b/>
          <w:color w:val="000000"/>
          <w:sz w:val="24"/>
        </w:rPr>
        <w:t>评定内容及评标标准</w:t>
      </w: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80</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szCs w:val="21"/>
              </w:rPr>
            </w:pPr>
            <w:r>
              <w:rPr>
                <w:rFonts w:hint="eastAsia" w:ascii="宋体" w:hAnsi="宋体" w:cs="宋体"/>
                <w:szCs w:val="21"/>
              </w:rPr>
              <w:t>商务</w:t>
            </w:r>
          </w:p>
          <w:p>
            <w:pPr>
              <w:widowControl/>
              <w:spacing w:line="360" w:lineRule="auto"/>
              <w:jc w:val="center"/>
              <w:rPr>
                <w:rFonts w:ascii="宋体" w:hAnsi="宋体" w:cs="宋体"/>
                <w:szCs w:val="21"/>
              </w:rPr>
            </w:pPr>
            <w:r>
              <w:rPr>
                <w:rFonts w:hint="eastAsia" w:ascii="宋体" w:hAnsi="宋体" w:cs="宋体"/>
                <w:szCs w:val="21"/>
              </w:rPr>
              <w:t>技术</w:t>
            </w:r>
          </w:p>
          <w:p>
            <w:pPr>
              <w:widowControl/>
              <w:spacing w:line="360" w:lineRule="auto"/>
              <w:jc w:val="center"/>
              <w:rPr>
                <w:rFonts w:ascii="宋体" w:hAnsi="宋体" w:cs="宋体"/>
                <w:szCs w:val="21"/>
              </w:rPr>
            </w:pPr>
            <w:r>
              <w:rPr>
                <w:rFonts w:hint="eastAsia" w:ascii="宋体" w:hAnsi="宋体" w:cs="宋体"/>
                <w:szCs w:val="21"/>
              </w:rPr>
              <w:t>得分</w:t>
            </w:r>
          </w:p>
          <w:p>
            <w:pPr>
              <w:widowControl/>
              <w:spacing w:line="360" w:lineRule="auto"/>
              <w:jc w:val="center"/>
              <w:rPr>
                <w:rFonts w:ascii="宋体" w:hAnsi="宋体" w:cs="宋体"/>
                <w:color w:val="0000FF"/>
                <w:szCs w:val="21"/>
              </w:rPr>
            </w:pPr>
            <w:r>
              <w:rPr>
                <w:rFonts w:hint="eastAsia" w:ascii="宋体" w:hAnsi="宋体" w:cs="宋体"/>
                <w:szCs w:val="21"/>
              </w:rPr>
              <w:t>70分</w:t>
            </w:r>
          </w:p>
          <w:p>
            <w:pPr>
              <w:widowControl/>
              <w:spacing w:line="360" w:lineRule="auto"/>
              <w:jc w:val="center"/>
              <w:rPr>
                <w:rFonts w:ascii="宋体" w:hAnsi="宋体" w:cs="宋体"/>
                <w:color w:val="0000FF"/>
                <w:szCs w:val="21"/>
              </w:rPr>
            </w:pPr>
          </w:p>
        </w:tc>
        <w:tc>
          <w:tcPr>
            <w:tcW w:w="1276" w:type="dxa"/>
            <w:vAlign w:val="center"/>
          </w:tcPr>
          <w:p>
            <w:pPr>
              <w:spacing w:line="360" w:lineRule="auto"/>
              <w:jc w:val="center"/>
              <w:rPr>
                <w:rFonts w:ascii="宋体" w:hAnsi="宋体" w:cs="宋体"/>
                <w:szCs w:val="21"/>
              </w:rPr>
            </w:pPr>
            <w:r>
              <w:rPr>
                <w:rFonts w:hint="eastAsia" w:ascii="宋体" w:hAnsi="宋体" w:cs="宋体"/>
                <w:szCs w:val="21"/>
              </w:rPr>
              <w:t>技术参数</w:t>
            </w:r>
          </w:p>
        </w:tc>
        <w:tc>
          <w:tcPr>
            <w:tcW w:w="6048" w:type="dxa"/>
            <w:vAlign w:val="center"/>
          </w:tcPr>
          <w:p>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符合明确指标参数得</w:t>
            </w:r>
            <w:r>
              <w:rPr>
                <w:rFonts w:hint="eastAsia" w:ascii="宋体" w:hAnsi="宋体" w:cs="宋体"/>
                <w:color w:val="000000"/>
                <w:szCs w:val="21"/>
                <w:highlight w:val="none"/>
                <w:lang w:val="en-US" w:eastAsia="zh-CN"/>
              </w:rPr>
              <w:t>18</w:t>
            </w:r>
            <w:r>
              <w:rPr>
                <w:rFonts w:hint="eastAsia" w:ascii="宋体" w:hAnsi="宋体" w:cs="宋体"/>
                <w:color w:val="000000"/>
                <w:szCs w:val="21"/>
                <w:highlight w:val="none"/>
              </w:rPr>
              <w:t>分。打▲号指标为实质性要求，如有负偏离将作为无效投标；非打▲号指标有负偏离的且评委认为有影响的每项扣2分，技术指标属正偏离或高配的且评委认为有意义的，每项加1.5分。本项最多得</w:t>
            </w: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分。（0-</w:t>
            </w: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分）</w:t>
            </w:r>
          </w:p>
        </w:tc>
        <w:tc>
          <w:tcPr>
            <w:tcW w:w="863"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FF"/>
                <w:szCs w:val="21"/>
              </w:rPr>
            </w:pPr>
          </w:p>
        </w:tc>
        <w:tc>
          <w:tcPr>
            <w:tcW w:w="1276" w:type="dxa"/>
            <w:vMerge w:val="restart"/>
            <w:vAlign w:val="center"/>
          </w:tcPr>
          <w:p>
            <w:pPr>
              <w:widowControl/>
              <w:spacing w:line="360" w:lineRule="auto"/>
              <w:jc w:val="center"/>
              <w:rPr>
                <w:rFonts w:ascii="宋体" w:hAnsi="宋体" w:cs="宋体"/>
                <w:szCs w:val="21"/>
              </w:rPr>
            </w:pPr>
            <w:r>
              <w:rPr>
                <w:rFonts w:hint="eastAsia" w:ascii="宋体" w:hAnsi="宋体" w:cs="宋体"/>
                <w:szCs w:val="21"/>
              </w:rPr>
              <w:t>系统（实施）方案</w:t>
            </w:r>
          </w:p>
        </w:tc>
        <w:tc>
          <w:tcPr>
            <w:tcW w:w="6048" w:type="dxa"/>
            <w:vAlign w:val="center"/>
          </w:tcPr>
          <w:p>
            <w:pPr>
              <w:spacing w:line="360" w:lineRule="auto"/>
              <w:jc w:val="left"/>
              <w:rPr>
                <w:rFonts w:ascii="宋体" w:hAnsi="宋体" w:cs="宋体"/>
                <w:szCs w:val="21"/>
              </w:rPr>
            </w:pPr>
            <w:r>
              <w:rPr>
                <w:rFonts w:hint="eastAsia" w:ascii="宋体" w:hAnsi="宋体" w:cs="宋体"/>
                <w:szCs w:val="21"/>
              </w:rPr>
              <w:t>设备（系统）的可操性（0-2分）、稳定性（0-2分）、是否便于维护（0-2分）。（0-</w:t>
            </w:r>
            <w:r>
              <w:rPr>
                <w:rFonts w:ascii="宋体" w:hAnsi="宋体" w:cs="宋体"/>
                <w:szCs w:val="21"/>
              </w:rPr>
              <w:t>6</w:t>
            </w:r>
            <w:r>
              <w:rPr>
                <w:rFonts w:hint="eastAsia" w:ascii="宋体" w:hAnsi="宋体" w:cs="宋体"/>
                <w:szCs w:val="21"/>
              </w:rPr>
              <w:t>分）</w:t>
            </w:r>
          </w:p>
        </w:tc>
        <w:tc>
          <w:tcPr>
            <w:tcW w:w="863" w:type="dxa"/>
            <w:vAlign w:val="center"/>
          </w:tcPr>
          <w:p>
            <w:pPr>
              <w:widowControl/>
              <w:spacing w:line="360" w:lineRule="auto"/>
              <w:jc w:val="center"/>
              <w:rPr>
                <w:rFonts w:ascii="宋体" w:hAnsi="宋体" w:cs="宋体"/>
                <w:szCs w:val="21"/>
              </w:rPr>
            </w:pPr>
            <w:r>
              <w:rPr>
                <w:rFonts w:hint="eastAsia" w:ascii="宋体" w:hAnsi="宋体"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FF"/>
                <w:szCs w:val="21"/>
              </w:rPr>
            </w:pPr>
          </w:p>
        </w:tc>
        <w:tc>
          <w:tcPr>
            <w:tcW w:w="1276" w:type="dxa"/>
            <w:vMerge w:val="continue"/>
            <w:vAlign w:val="center"/>
          </w:tcPr>
          <w:p>
            <w:pPr>
              <w:widowControl/>
              <w:spacing w:line="360" w:lineRule="auto"/>
              <w:jc w:val="center"/>
              <w:rPr>
                <w:rFonts w:ascii="宋体" w:hAnsi="宋体" w:cs="宋体"/>
                <w:szCs w:val="21"/>
              </w:rPr>
            </w:pPr>
          </w:p>
        </w:tc>
        <w:tc>
          <w:tcPr>
            <w:tcW w:w="6048" w:type="dxa"/>
            <w:vAlign w:val="center"/>
          </w:tcPr>
          <w:p>
            <w:pPr>
              <w:spacing w:line="360" w:lineRule="auto"/>
              <w:jc w:val="left"/>
              <w:rPr>
                <w:rFonts w:ascii="宋体" w:hAnsi="宋体" w:cs="宋体"/>
                <w:szCs w:val="21"/>
                <w:highlight w:val="none"/>
              </w:rPr>
            </w:pPr>
            <w:r>
              <w:rPr>
                <w:rFonts w:hint="eastAsia" w:ascii="宋体" w:hAnsi="宋体" w:cs="宋体"/>
                <w:szCs w:val="21"/>
                <w:highlight w:val="none"/>
              </w:rPr>
              <w:t>设备（系统）技术的合理性（0-2分）、成熟性（0-2分）、先进性（0-2分）。（0-</w:t>
            </w: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8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93" w:type="dxa"/>
            <w:vMerge w:val="continue"/>
          </w:tcPr>
          <w:p>
            <w:pPr>
              <w:widowControl/>
              <w:spacing w:line="360" w:lineRule="auto"/>
              <w:jc w:val="distribute"/>
              <w:rPr>
                <w:rFonts w:ascii="宋体" w:hAnsi="宋体" w:cs="宋体"/>
                <w:color w:val="0000FF"/>
                <w:szCs w:val="21"/>
              </w:rPr>
            </w:pPr>
          </w:p>
        </w:tc>
        <w:tc>
          <w:tcPr>
            <w:tcW w:w="1276" w:type="dxa"/>
            <w:vMerge w:val="continue"/>
            <w:vAlign w:val="center"/>
          </w:tcPr>
          <w:p>
            <w:pPr>
              <w:widowControl/>
              <w:spacing w:line="360" w:lineRule="auto"/>
              <w:jc w:val="left"/>
              <w:rPr>
                <w:rFonts w:ascii="宋体" w:hAnsi="宋体" w:cs="宋体"/>
                <w:szCs w:val="21"/>
              </w:rPr>
            </w:pPr>
          </w:p>
        </w:tc>
        <w:tc>
          <w:tcPr>
            <w:tcW w:w="6048" w:type="dxa"/>
            <w:vAlign w:val="center"/>
          </w:tcPr>
          <w:p>
            <w:pPr>
              <w:spacing w:line="360" w:lineRule="auto"/>
              <w:jc w:val="left"/>
              <w:rPr>
                <w:rFonts w:ascii="宋体" w:hAnsi="宋体" w:cs="宋体"/>
                <w:szCs w:val="21"/>
              </w:rPr>
            </w:pPr>
            <w:r>
              <w:rPr>
                <w:rFonts w:hint="eastAsia" w:ascii="宋体" w:hAnsi="宋体" w:cs="宋体"/>
                <w:szCs w:val="21"/>
              </w:rPr>
              <w:t>根据拟投入本项目人员情况（技术力量）进行综合评分。（0-</w:t>
            </w:r>
            <w:r>
              <w:rPr>
                <w:rFonts w:ascii="宋体" w:hAnsi="宋体" w:cs="宋体"/>
                <w:szCs w:val="21"/>
              </w:rPr>
              <w:t>5</w:t>
            </w:r>
            <w:r>
              <w:rPr>
                <w:rFonts w:hint="eastAsia" w:ascii="宋体" w:hAnsi="宋体" w:cs="宋体"/>
                <w:szCs w:val="21"/>
              </w:rPr>
              <w:t>分）</w:t>
            </w:r>
          </w:p>
        </w:tc>
        <w:tc>
          <w:tcPr>
            <w:tcW w:w="863" w:type="dxa"/>
            <w:vAlign w:val="center"/>
          </w:tcPr>
          <w:p>
            <w:pPr>
              <w:spacing w:line="360" w:lineRule="auto"/>
              <w:jc w:val="center"/>
              <w:rPr>
                <w:rFonts w:ascii="宋体" w:hAnsi="宋体" w:cs="宋体"/>
                <w:szCs w:val="21"/>
              </w:rPr>
            </w:pPr>
            <w:r>
              <w:rPr>
                <w:rFonts w:ascii="宋体" w:hAnsi="宋体" w:cs="宋体"/>
                <w:szCs w:val="21"/>
              </w:rPr>
              <w:t>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FF"/>
                <w:szCs w:val="21"/>
              </w:rPr>
            </w:pPr>
          </w:p>
        </w:tc>
        <w:tc>
          <w:tcPr>
            <w:tcW w:w="1276" w:type="dxa"/>
            <w:vAlign w:val="center"/>
          </w:tcPr>
          <w:p>
            <w:pPr>
              <w:widowControl/>
              <w:spacing w:line="360" w:lineRule="auto"/>
              <w:jc w:val="center"/>
              <w:rPr>
                <w:rFonts w:ascii="宋体" w:hAnsi="宋体" w:cs="宋体"/>
                <w:szCs w:val="21"/>
              </w:rPr>
            </w:pPr>
            <w:r>
              <w:rPr>
                <w:rFonts w:hint="eastAsia" w:ascii="宋体" w:hAnsi="宋体" w:cs="宋体"/>
                <w:szCs w:val="21"/>
              </w:rPr>
              <w:t>同类项目</w:t>
            </w:r>
          </w:p>
          <w:p>
            <w:pPr>
              <w:widowControl/>
              <w:spacing w:line="360" w:lineRule="auto"/>
              <w:jc w:val="center"/>
              <w:rPr>
                <w:rFonts w:ascii="宋体" w:hAnsi="宋体" w:cs="宋体"/>
                <w:szCs w:val="21"/>
              </w:rPr>
            </w:pPr>
            <w:r>
              <w:rPr>
                <w:rFonts w:hint="eastAsia" w:ascii="宋体" w:hAnsi="宋体" w:cs="宋体"/>
                <w:szCs w:val="21"/>
              </w:rPr>
              <w:t>实施经验</w:t>
            </w:r>
          </w:p>
        </w:tc>
        <w:tc>
          <w:tcPr>
            <w:tcW w:w="6048" w:type="dxa"/>
            <w:vAlign w:val="center"/>
          </w:tcPr>
          <w:p>
            <w:pPr>
              <w:widowControl/>
              <w:spacing w:line="360" w:lineRule="auto"/>
              <w:jc w:val="left"/>
              <w:rPr>
                <w:rFonts w:hint="eastAsia" w:ascii="宋体" w:hAnsi="宋体" w:eastAsia="宋体" w:cs="宋体"/>
                <w:szCs w:val="21"/>
                <w:lang w:eastAsia="zh-CN"/>
              </w:rPr>
            </w:pPr>
            <w:r>
              <w:rPr>
                <w:rFonts w:hint="eastAsia" w:ascii="宋体" w:hAnsi="宋体" w:cs="宋体"/>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0-3分</w:t>
            </w:r>
            <w:r>
              <w:rPr>
                <w:rFonts w:hint="eastAsia" w:ascii="宋体" w:hAnsi="宋体" w:cs="宋体"/>
                <w:szCs w:val="21"/>
                <w:lang w:eastAsia="zh-CN"/>
              </w:rPr>
              <w:t>）</w:t>
            </w:r>
          </w:p>
        </w:tc>
        <w:tc>
          <w:tcPr>
            <w:tcW w:w="863" w:type="dxa"/>
            <w:vAlign w:val="center"/>
          </w:tcPr>
          <w:p>
            <w:pPr>
              <w:widowControl/>
              <w:spacing w:line="360" w:lineRule="auto"/>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FF"/>
                <w:szCs w:val="21"/>
              </w:rPr>
            </w:pPr>
            <w:bookmarkStart w:id="41" w:name="_Hlk106723043"/>
          </w:p>
        </w:tc>
        <w:tc>
          <w:tcPr>
            <w:tcW w:w="1276" w:type="dxa"/>
            <w:vAlign w:val="center"/>
          </w:tcPr>
          <w:p>
            <w:pPr>
              <w:widowControl/>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视频</w:t>
            </w:r>
            <w:r>
              <w:rPr>
                <w:rFonts w:ascii="宋体" w:hAnsi="宋体" w:cs="宋体"/>
                <w:color w:val="000000" w:themeColor="text1"/>
                <w:szCs w:val="21"/>
                <w14:textFill>
                  <w14:solidFill>
                    <w14:schemeClr w14:val="tx1"/>
                  </w14:solidFill>
                </w14:textFill>
              </w:rPr>
              <w:t>演示</w:t>
            </w:r>
          </w:p>
        </w:tc>
        <w:tc>
          <w:tcPr>
            <w:tcW w:w="6048" w:type="dxa"/>
            <w:vAlign w:val="center"/>
          </w:tcPr>
          <w:p>
            <w:pPr>
              <w:spacing w:line="360" w:lineRule="auto"/>
              <w:jc w:val="left"/>
              <w:rPr>
                <w:rFonts w:hint="eastAsia"/>
                <w:lang w:val="en-US" w:eastAsia="zh-CN"/>
              </w:rPr>
            </w:pPr>
            <w:r>
              <w:rPr>
                <w:rFonts w:hint="eastAsia"/>
                <w:lang w:val="en-US" w:eastAsia="zh-CN"/>
              </w:rPr>
              <w:t>对投标人提供的视频演示（视频时间15分钟以内）内容综合评分：</w:t>
            </w:r>
          </w:p>
          <w:p>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现场演示实验室安全检查该模块模拟存在安全隐患的多个实验场景，用户可以通过找茬的方式进行安全隐患排查。用户可以设置挑战的图片数量和总用时，单张图片的检查时间最长为10秒。设定时间内找到错误点会显示正确的状态，并在2秒后进入下一张图片。此次检查正常得分。未能在10秒内找到错误点则不显示正确状态，2秒后自动进入下一张，此次检查不得分。最大查找数量不大于50，图片内容可以添加。(演示完全满足要求的</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分，不满足要求或者演示不全者不得分)</w:t>
            </w:r>
            <w:r>
              <w:rPr>
                <w:rFonts w:hint="eastAsia" w:ascii="宋体" w:hAnsi="宋体" w:cs="宋体"/>
                <w:kern w:val="2"/>
                <w:sz w:val="21"/>
                <w:szCs w:val="21"/>
                <w:lang w:val="en-US" w:eastAsia="zh-CN" w:bidi="ar-SA"/>
              </w:rPr>
              <w:t>（0-2分）</w:t>
            </w:r>
          </w:p>
          <w:p>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现场演示化学药品鉴别模块，会随机给出化学药品名称，用户需要进行危险类别判断，并选择合适的标志，试剂瓶或消防用具。进入“化学药品鉴别”实验界面后，需分别点击安全标志，试剂瓶，灭火器三个实验内容，在弹出相应内容中进行选择。被选择物品进入已选列表，也可以从已选列表中删除物品。鉴别数可以自由设置，但是不超过50。每个鉴别时间可自由设置，但是最多设置200秒。(演示完全满足要求的</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分，不满足要求或者演示不全者不得分)</w:t>
            </w:r>
            <w:r>
              <w:rPr>
                <w:rFonts w:hint="eastAsia" w:ascii="宋体" w:hAnsi="宋体" w:cs="宋体"/>
                <w:kern w:val="2"/>
                <w:sz w:val="21"/>
                <w:szCs w:val="21"/>
                <w:lang w:val="en-US" w:eastAsia="zh-CN" w:bidi="ar-SA"/>
              </w:rPr>
              <w:t>（0-2分）</w:t>
            </w:r>
          </w:p>
          <w:p>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现场演示危险化学试剂个人防护用品选择，进入系统，使用者先选择可能遇到的危险化学品，可选择有机过氧化物，腐蚀品，易燃液体，压缩空气，有毒品5类。选定一类过后，进去防护品选择。每一类危险化学试剂，对应12个正确的防护用品，(演示完全满足要求的</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分，不满足要求或者演示不全者不得分)需要从40个防护用品中选择出来，全选对得分，选不对不得分。</w:t>
            </w:r>
            <w:r>
              <w:rPr>
                <w:rFonts w:hint="eastAsia" w:ascii="宋体" w:hAnsi="宋体" w:cs="宋体"/>
                <w:kern w:val="2"/>
                <w:sz w:val="21"/>
                <w:szCs w:val="21"/>
                <w:lang w:val="en-US" w:eastAsia="zh-CN" w:bidi="ar-SA"/>
              </w:rPr>
              <w:t>（0-2分）</w:t>
            </w:r>
          </w:p>
          <w:p>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现场演示安全设备模型组合，此模块需要对安全设备模型进行学习组合，每个模型会被分成不同的图块，，用户需把图块按照正确的顺序组装起来安全设备不少于50个，包含：消防警铃，防火沙桶，液氮罐，手套箱，氧气瓶，马弗炉，气动减压阀，防爆废液桶，通风橱，氮气瓶，AED机，离心机，灭火毯，可燃气体检测器，烘箱，灭火器，洗眼器，防毒面具，微博反应器等。(演示完全满足要求的</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分，不满足要求或者演示不全者不得分)</w:t>
            </w:r>
            <w:r>
              <w:rPr>
                <w:rFonts w:hint="eastAsia" w:ascii="宋体" w:hAnsi="宋体" w:cs="宋体"/>
                <w:kern w:val="2"/>
                <w:sz w:val="21"/>
                <w:szCs w:val="21"/>
                <w:lang w:val="en-US" w:eastAsia="zh-CN" w:bidi="ar-SA"/>
              </w:rPr>
              <w:t>（0-2分）</w:t>
            </w:r>
          </w:p>
          <w:p>
            <w:pPr>
              <w:pStyle w:val="2"/>
              <w:ind w:left="0" w:leftChars="0" w:firstLine="0" w:firstLineChars="0"/>
            </w:pPr>
            <w:r>
              <w:rPr>
                <w:rFonts w:hint="eastAsia" w:ascii="宋体" w:hAnsi="宋体" w:eastAsia="宋体" w:cs="宋体"/>
                <w:kern w:val="2"/>
                <w:sz w:val="21"/>
                <w:szCs w:val="21"/>
                <w:lang w:val="en-US" w:eastAsia="zh-CN" w:bidi="ar-SA"/>
              </w:rPr>
              <w:t>5.稳态仿真建模软件采用在线登录方式运行，学员可通过点击网页中的安装包下载并安装；学员可通过登录网页账号，安装云端的安装包，并点击运行图标按钮运行程序。在线管理授权：管理员可以登录网页后，配置N个自定义的用户名及其授权时长T；N不大于其获授权的点数；T不大于其获授权的时间。结果网页分享：当工程文件运行后，可按分享键分享到云端，生成一个网页；未安装软件的用户，也可通过网页直接查看流股模块的结果以及工艺流程图。(演示完全满足要求的</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分，不满足要求或者演示不全者不得分)</w:t>
            </w:r>
            <w:r>
              <w:rPr>
                <w:rFonts w:hint="eastAsia" w:ascii="宋体" w:hAnsi="宋体" w:cs="宋体"/>
                <w:kern w:val="2"/>
                <w:sz w:val="21"/>
                <w:szCs w:val="21"/>
                <w:lang w:val="en-US" w:eastAsia="zh-CN" w:bidi="ar-SA"/>
              </w:rPr>
              <w:t>（0-2分）</w:t>
            </w:r>
          </w:p>
        </w:tc>
        <w:tc>
          <w:tcPr>
            <w:tcW w:w="863" w:type="dxa"/>
            <w:vAlign w:val="center"/>
          </w:tcPr>
          <w:p>
            <w:pPr>
              <w:widowControl/>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10</w:t>
            </w:r>
            <w:r>
              <w:rPr>
                <w:rFonts w:ascii="宋体" w:hAnsi="宋体" w:cs="宋体"/>
                <w:b/>
                <w:bCs/>
                <w:color w:val="000000" w:themeColor="text1"/>
                <w:szCs w:val="21"/>
                <w:highlight w:val="none"/>
                <w14:textFill>
                  <w14:solidFill>
                    <w14:schemeClr w14:val="tx1"/>
                  </w14:solidFill>
                </w14:textFill>
              </w:rPr>
              <w:t>分</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FF"/>
                <w:szCs w:val="21"/>
              </w:rPr>
            </w:pPr>
          </w:p>
        </w:tc>
        <w:tc>
          <w:tcPr>
            <w:tcW w:w="1276" w:type="dxa"/>
            <w:vAlign w:val="center"/>
          </w:tcPr>
          <w:p>
            <w:pPr>
              <w:widowControl/>
              <w:spacing w:line="360" w:lineRule="exact"/>
              <w:jc w:val="center"/>
              <w:rPr>
                <w:rFonts w:ascii="宋体" w:hAnsi="宋体" w:cs="宋体"/>
                <w:color w:val="0000FF"/>
                <w:szCs w:val="21"/>
              </w:rPr>
            </w:pPr>
            <w:r>
              <w:rPr>
                <w:rFonts w:hint="eastAsia" w:ascii="宋体" w:hAnsi="宋体" w:cs="宋体"/>
                <w:color w:val="000000"/>
                <w:szCs w:val="21"/>
              </w:rPr>
              <w:t>培训方案</w:t>
            </w:r>
          </w:p>
        </w:tc>
        <w:tc>
          <w:tcPr>
            <w:tcW w:w="6048" w:type="dxa"/>
            <w:vAlign w:val="center"/>
          </w:tcPr>
          <w:p>
            <w:pPr>
              <w:widowControl/>
              <w:spacing w:line="312" w:lineRule="auto"/>
              <w:jc w:val="left"/>
              <w:rPr>
                <w:rFonts w:ascii="宋体" w:hAnsi="宋体" w:cs="宋体"/>
                <w:color w:val="0000FF"/>
                <w:szCs w:val="21"/>
              </w:rPr>
            </w:pPr>
            <w:r>
              <w:rPr>
                <w:rFonts w:hint="eastAsia" w:ascii="宋体" w:hAnsi="宋体" w:cs="宋体"/>
                <w:color w:val="000000"/>
                <w:szCs w:val="21"/>
              </w:rPr>
              <w:t>投标人培训方案、地点、组织、人员配备、软硬件资料等内容是否完整、科学合理。（0-</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863" w:type="dxa"/>
            <w:vAlign w:val="center"/>
          </w:tcPr>
          <w:p>
            <w:pPr>
              <w:widowControl/>
              <w:spacing w:line="360" w:lineRule="exact"/>
              <w:jc w:val="center"/>
              <w:rPr>
                <w:rFonts w:ascii="宋体" w:hAnsi="宋体" w:cs="宋体"/>
                <w:color w:val="0000FF"/>
                <w:szCs w:val="21"/>
              </w:rPr>
            </w:pPr>
            <w:r>
              <w:rPr>
                <w:rFonts w:hint="eastAsia" w:ascii="宋体" w:hAnsi="宋体" w:cs="宋体"/>
                <w:color w:val="000000"/>
                <w:szCs w:val="21"/>
                <w:lang w:val="en-US" w:eastAsia="zh-CN"/>
              </w:rPr>
              <w:t>3</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FF"/>
                <w:szCs w:val="21"/>
              </w:rPr>
            </w:pPr>
          </w:p>
        </w:tc>
        <w:tc>
          <w:tcPr>
            <w:tcW w:w="1276" w:type="dxa"/>
            <w:vAlign w:val="center"/>
          </w:tcPr>
          <w:p>
            <w:pPr>
              <w:widowControl/>
              <w:spacing w:line="360" w:lineRule="exact"/>
              <w:jc w:val="center"/>
              <w:rPr>
                <w:rFonts w:ascii="宋体" w:hAnsi="宋体" w:cs="仿宋_GB2312"/>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w:t>
            </w:r>
            <w:r>
              <w:rPr>
                <w:rFonts w:hint="eastAsia" w:ascii="宋体" w:hAnsi="宋体" w:cs="宋体"/>
                <w:color w:val="000000"/>
                <w:szCs w:val="21"/>
                <w:lang w:val="en-US" w:eastAsia="zh-CN"/>
              </w:rPr>
              <w:t>2</w:t>
            </w:r>
            <w:r>
              <w:rPr>
                <w:rFonts w:hint="eastAsia" w:ascii="宋体" w:hAnsi="宋体" w:cs="宋体"/>
                <w:color w:val="000000"/>
                <w:szCs w:val="21"/>
              </w:rPr>
              <w:t>分。</w:t>
            </w:r>
          </w:p>
          <w:p>
            <w:pPr>
              <w:widowControl/>
              <w:spacing w:line="312" w:lineRule="auto"/>
              <w:jc w:val="left"/>
              <w:rPr>
                <w:rFonts w:ascii="宋体" w:hAnsi="宋体" w:cs="仿宋_GB2312"/>
                <w:szCs w:val="21"/>
              </w:rPr>
            </w:pPr>
            <w:r>
              <w:rPr>
                <w:rFonts w:hint="eastAsia" w:ascii="宋体" w:hAnsi="宋体" w:cs="宋体"/>
                <w:color w:val="000000"/>
                <w:szCs w:val="21"/>
              </w:rPr>
              <w:t>（0-</w:t>
            </w:r>
            <w:r>
              <w:rPr>
                <w:rFonts w:hint="eastAsia" w:ascii="宋体" w:hAnsi="宋体" w:cs="宋体"/>
                <w:color w:val="000000"/>
                <w:szCs w:val="21"/>
                <w:lang w:val="en-US" w:eastAsia="zh-CN"/>
              </w:rPr>
              <w:t>2</w:t>
            </w:r>
            <w:r>
              <w:rPr>
                <w:rFonts w:hint="eastAsia" w:ascii="宋体" w:hAnsi="宋体" w:cs="宋体"/>
                <w:color w:val="000000"/>
                <w:szCs w:val="21"/>
              </w:rPr>
              <w:t>分）</w:t>
            </w:r>
          </w:p>
        </w:tc>
        <w:tc>
          <w:tcPr>
            <w:tcW w:w="863" w:type="dxa"/>
            <w:vAlign w:val="center"/>
          </w:tcPr>
          <w:p>
            <w:pPr>
              <w:widowControl/>
              <w:spacing w:line="360" w:lineRule="exact"/>
              <w:jc w:val="center"/>
              <w:rPr>
                <w:rFonts w:ascii="宋体" w:hAnsi="宋体" w:cs="仿宋_GB2312"/>
                <w:szCs w:val="21"/>
              </w:rPr>
            </w:pPr>
            <w:r>
              <w:rPr>
                <w:rFonts w:hint="eastAsia" w:ascii="宋体" w:hAnsi="宋体" w:cs="宋体"/>
                <w:color w:val="000000"/>
                <w:szCs w:val="21"/>
                <w:lang w:val="en-US" w:eastAsia="zh-CN"/>
              </w:rPr>
              <w:t>2</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FF"/>
                <w:szCs w:val="21"/>
              </w:rPr>
            </w:pPr>
          </w:p>
        </w:tc>
        <w:tc>
          <w:tcPr>
            <w:tcW w:w="1276" w:type="dxa"/>
            <w:vAlign w:val="center"/>
          </w:tcPr>
          <w:p>
            <w:pPr>
              <w:spacing w:line="360" w:lineRule="exact"/>
              <w:jc w:val="center"/>
              <w:rPr>
                <w:rFonts w:ascii="宋体" w:hAnsi="宋体" w:cs="宋体"/>
                <w:color w:val="0000FF"/>
                <w:szCs w:val="21"/>
              </w:rPr>
            </w:pPr>
            <w:r>
              <w:rPr>
                <w:rFonts w:hint="eastAsia" w:ascii="宋体" w:hAnsi="宋体" w:cs="宋体"/>
                <w:color w:val="000000"/>
                <w:szCs w:val="21"/>
              </w:rPr>
              <w:t>服务承诺</w:t>
            </w:r>
          </w:p>
        </w:tc>
        <w:tc>
          <w:tcPr>
            <w:tcW w:w="6048" w:type="dxa"/>
            <w:vAlign w:val="center"/>
          </w:tcPr>
          <w:p>
            <w:pPr>
              <w:pStyle w:val="24"/>
              <w:spacing w:before="0" w:beforeAutospacing="0" w:after="0" w:afterAutospacing="0" w:line="312" w:lineRule="auto"/>
              <w:jc w:val="both"/>
              <w:rPr>
                <w:color w:val="0000FF"/>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w:t>
            </w:r>
            <w:r>
              <w:rPr>
                <w:rFonts w:hint="eastAsia"/>
                <w:color w:val="000000"/>
                <w:kern w:val="2"/>
                <w:sz w:val="21"/>
                <w:szCs w:val="21"/>
                <w:lang w:val="en-US" w:eastAsia="zh-CN"/>
              </w:rPr>
              <w:t>2</w:t>
            </w:r>
            <w:r>
              <w:rPr>
                <w:rFonts w:hint="eastAsia"/>
                <w:color w:val="000000"/>
                <w:kern w:val="2"/>
                <w:sz w:val="21"/>
                <w:szCs w:val="21"/>
              </w:rPr>
              <w:t>分）</w:t>
            </w:r>
          </w:p>
        </w:tc>
        <w:tc>
          <w:tcPr>
            <w:tcW w:w="863" w:type="dxa"/>
            <w:vAlign w:val="center"/>
          </w:tcPr>
          <w:p>
            <w:pPr>
              <w:spacing w:line="360" w:lineRule="exact"/>
              <w:jc w:val="center"/>
              <w:rPr>
                <w:rFonts w:ascii="宋体" w:hAnsi="宋体" w:cs="宋体"/>
                <w:color w:val="0000FF"/>
                <w:szCs w:val="21"/>
              </w:rPr>
            </w:pPr>
            <w:r>
              <w:rPr>
                <w:rFonts w:hint="eastAsia" w:ascii="宋体" w:hAnsi="宋体" w:cs="宋体"/>
                <w:color w:val="000000"/>
                <w:szCs w:val="21"/>
                <w:lang w:val="en-US" w:eastAsia="zh-CN"/>
              </w:rPr>
              <w:t>2</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3" w:type="dxa"/>
            <w:vMerge w:val="continue"/>
            <w:vAlign w:val="center"/>
          </w:tcPr>
          <w:p>
            <w:pPr>
              <w:widowControl/>
              <w:spacing w:line="360" w:lineRule="auto"/>
              <w:jc w:val="left"/>
              <w:rPr>
                <w:rFonts w:ascii="宋体" w:hAnsi="宋体" w:cs="宋体"/>
                <w:color w:val="0000FF"/>
                <w:szCs w:val="21"/>
              </w:rPr>
            </w:pPr>
          </w:p>
        </w:tc>
        <w:tc>
          <w:tcPr>
            <w:tcW w:w="1276" w:type="dxa"/>
            <w:vAlign w:val="center"/>
          </w:tcPr>
          <w:p>
            <w:pPr>
              <w:spacing w:line="360" w:lineRule="exact"/>
              <w:jc w:val="center"/>
              <w:rPr>
                <w:rFonts w:ascii="宋体" w:hAnsi="宋体" w:cs="宋体"/>
                <w:color w:val="0000FF"/>
                <w:szCs w:val="21"/>
              </w:rPr>
            </w:pPr>
            <w:r>
              <w:rPr>
                <w:rFonts w:hint="eastAsia" w:ascii="宋体" w:hAnsi="宋体" w:cs="仿宋_GB2312"/>
                <w:szCs w:val="21"/>
              </w:rPr>
              <w:t>质保期外的服务承诺</w:t>
            </w:r>
          </w:p>
        </w:tc>
        <w:tc>
          <w:tcPr>
            <w:tcW w:w="6048" w:type="dxa"/>
            <w:vAlign w:val="center"/>
          </w:tcPr>
          <w:p>
            <w:pPr>
              <w:pStyle w:val="25"/>
              <w:spacing w:line="312" w:lineRule="auto"/>
              <w:ind w:firstLine="0" w:firstLineChars="0"/>
              <w:rPr>
                <w:color w:val="0000FF"/>
                <w:kern w:val="2"/>
                <w:sz w:val="21"/>
                <w:szCs w:val="21"/>
              </w:rPr>
            </w:pPr>
            <w:r>
              <w:rPr>
                <w:rFonts w:hint="eastAsia" w:cs="仿宋_GB2312"/>
                <w:kern w:val="2"/>
                <w:sz w:val="21"/>
                <w:szCs w:val="21"/>
              </w:rPr>
              <w:t>投标人质保期满后的技术支持和维护费用，提供上门维护、升级服务以及给予招标人的各种优惠条件（包括易损备品备件、专用耗材、人工费等）。（0-</w:t>
            </w:r>
            <w:r>
              <w:rPr>
                <w:rFonts w:hint="eastAsia" w:cs="仿宋_GB2312"/>
                <w:kern w:val="2"/>
                <w:sz w:val="21"/>
                <w:szCs w:val="21"/>
                <w:lang w:val="en-US" w:eastAsia="zh-CN"/>
              </w:rPr>
              <w:t>3</w:t>
            </w:r>
            <w:r>
              <w:rPr>
                <w:rFonts w:hint="eastAsia" w:cs="仿宋_GB2312"/>
                <w:kern w:val="2"/>
                <w:sz w:val="21"/>
                <w:szCs w:val="21"/>
              </w:rPr>
              <w:t>分）</w:t>
            </w:r>
          </w:p>
        </w:tc>
        <w:tc>
          <w:tcPr>
            <w:tcW w:w="863" w:type="dxa"/>
            <w:vAlign w:val="center"/>
          </w:tcPr>
          <w:p>
            <w:pPr>
              <w:spacing w:line="360" w:lineRule="exact"/>
              <w:jc w:val="center"/>
              <w:rPr>
                <w:rFonts w:ascii="宋体" w:hAnsi="宋体" w:cs="宋体"/>
                <w:color w:val="0000FF"/>
                <w:szCs w:val="21"/>
              </w:rPr>
            </w:pPr>
            <w:r>
              <w:rPr>
                <w:rFonts w:hint="eastAsia" w:ascii="宋体" w:hAnsi="宋体" w:cs="仿宋_GB2312"/>
                <w:szCs w:val="21"/>
                <w:lang w:val="en-US" w:eastAsia="zh-CN"/>
              </w:rPr>
              <w:t>3</w:t>
            </w:r>
            <w:r>
              <w:rPr>
                <w:rFonts w:hint="eastAsia" w:ascii="宋体" w:hAnsi="宋体" w:cs="仿宋_GB2312"/>
                <w:szCs w:val="21"/>
              </w:rPr>
              <w:t>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w:t>
      </w:r>
      <w:r>
        <w:rPr>
          <w:rFonts w:hint="eastAsia" w:asciiTheme="minorEastAsia" w:hAnsiTheme="minorEastAsia" w:eastAsiaTheme="minorEastAsia" w:cstheme="minorEastAsia"/>
          <w:b/>
          <w:bCs/>
          <w:color w:val="FF0000"/>
          <w:sz w:val="24"/>
          <w:lang w:val="en-US" w:eastAsia="zh-CN"/>
        </w:rPr>
        <w:t>2</w:t>
      </w:r>
      <w:bookmarkStart w:id="42" w:name="_GoBack"/>
      <w:bookmarkEnd w:id="42"/>
      <w:r>
        <w:rPr>
          <w:rFonts w:hint="eastAsia" w:asciiTheme="minorEastAsia" w:hAnsiTheme="minorEastAsia" w:eastAsiaTheme="minorEastAsia" w:cstheme="minorEastAsia"/>
          <w:b/>
          <w:bCs/>
          <w:color w:val="FF0000"/>
          <w:sz w:val="24"/>
        </w:rPr>
        <w:t>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b/>
          <w:color w:val="000000"/>
          <w:spacing w:val="20"/>
          <w:sz w:val="32"/>
          <w:szCs w:val="32"/>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40</w:t>
      </w:r>
      <w:r>
        <w:rPr>
          <w:rFonts w:hint="eastAsia"/>
          <w:b/>
          <w:color w:val="000000"/>
          <w:sz w:val="32"/>
          <w:szCs w:val="32"/>
        </w:rPr>
        <w:t xml:space="preserve"> </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ascii="宋体" w:hAnsi="宋体" w:cs="宋体"/>
          <w:b/>
          <w:bCs/>
          <w:color w:val="000000" w:themeColor="text1"/>
          <w:sz w:val="28"/>
          <w:szCs w:val="28"/>
          <w14:textFill>
            <w14:solidFill>
              <w14:schemeClr w14:val="tx1"/>
            </w14:solidFill>
          </w14:textFill>
        </w:rPr>
        <w:t>实验安全教育及氟硅钴产业动画演示虚拟仿真项目</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1" w:hanging="280" w:hangingChars="100"/>
        <w:rPr>
          <w:rFonts w:hint="eastAsia" w:ascii="宋体" w:hAnsi="宋体" w:cs="宋体"/>
          <w:b/>
          <w:bCs/>
          <w:color w:val="000000" w:themeColor="text1"/>
          <w:sz w:val="28"/>
          <w:szCs w:val="28"/>
          <w:u w:val="single"/>
          <w14:textFill>
            <w14:solidFill>
              <w14:schemeClr w14:val="tx1"/>
            </w14:solidFill>
          </w14:textFill>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宋体" w:hAnsi="宋体" w:cs="宋体"/>
          <w:b/>
          <w:bCs/>
          <w:color w:val="000000" w:themeColor="text1"/>
          <w:sz w:val="28"/>
          <w:szCs w:val="28"/>
          <w:u w:val="single"/>
          <w14:textFill>
            <w14:solidFill>
              <w14:schemeClr w14:val="tx1"/>
            </w14:solidFill>
          </w14:textFill>
        </w:rPr>
        <w:t>实验安全教育</w:t>
      </w:r>
    </w:p>
    <w:p>
      <w:pPr>
        <w:autoSpaceDE w:val="0"/>
        <w:autoSpaceDN w:val="0"/>
        <w:adjustRightInd w:val="0"/>
        <w:spacing w:line="360" w:lineRule="auto"/>
        <w:ind w:left="281" w:hanging="281" w:hangingChars="100"/>
        <w:rPr>
          <w:color w:val="000000"/>
          <w:sz w:val="28"/>
          <w:szCs w:val="28"/>
          <w:lang w:val="zh-CN"/>
        </w:rPr>
      </w:pPr>
      <w:r>
        <w:rPr>
          <w:rFonts w:hint="eastAsia" w:ascii="宋体" w:hAnsi="宋体" w:cs="宋体"/>
          <w:b/>
          <w:bCs/>
          <w:color w:val="000000" w:themeColor="text1"/>
          <w:sz w:val="28"/>
          <w:szCs w:val="28"/>
          <w:u w:val="single"/>
          <w14:textFill>
            <w14:solidFill>
              <w14:schemeClr w14:val="tx1"/>
            </w14:solidFill>
          </w14:textFill>
        </w:rPr>
        <w:t>及氟硅钴产业动画演示虚拟仿真项</w:t>
      </w:r>
      <w:r>
        <w:rPr>
          <w:rFonts w:hint="eastAsia" w:ascii="宋体" w:hAnsi="宋体" w:cs="宋体"/>
          <w:b/>
          <w:bCs/>
          <w:color w:val="000000" w:themeColor="text1"/>
          <w:sz w:val="28"/>
          <w:szCs w:val="28"/>
          <w14:textFill>
            <w14:solidFill>
              <w14:schemeClr w14:val="tx1"/>
            </w14:solidFill>
          </w14:textFill>
        </w:rPr>
        <w:t>目</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40</w:t>
      </w:r>
      <w:r>
        <w:rPr>
          <w:color w:val="000000"/>
          <w:sz w:val="28"/>
          <w:szCs w:val="28"/>
          <w:lang w:val="zh-CN"/>
        </w:rPr>
        <w:t>）招标有关活动，并进行投标。</w:t>
      </w:r>
    </w:p>
    <w:p>
      <w:pPr>
        <w:autoSpaceDE w:val="0"/>
        <w:autoSpaceDN w:val="0"/>
        <w:adjustRightInd w:val="0"/>
        <w:spacing w:line="360" w:lineRule="auto"/>
        <w:ind w:left="279" w:leftChars="133" w:firstLine="280" w:firstLineChars="100"/>
        <w:rPr>
          <w:color w:val="000000"/>
          <w:sz w:val="28"/>
          <w:szCs w:val="28"/>
          <w:u w:val="single"/>
          <w:lang w:val="zh-CN"/>
        </w:rPr>
      </w:pPr>
      <w:r>
        <w:rPr>
          <w:color w:val="000000"/>
          <w:sz w:val="28"/>
          <w:szCs w:val="28"/>
          <w:lang w:val="zh-CN"/>
        </w:rPr>
        <w:t>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宋体" w:hAnsi="宋体" w:cs="宋体"/>
          <w:b/>
          <w:bCs/>
          <w:color w:val="000000" w:themeColor="text1"/>
          <w:sz w:val="28"/>
          <w:szCs w:val="28"/>
          <w:u w:val="single"/>
          <w14:textFill>
            <w14:solidFill>
              <w14:schemeClr w14:val="tx1"/>
            </w14:solidFill>
          </w14:textFill>
        </w:rPr>
        <w:t>实验安全教育及氟硅钴产业动画演示虚拟仿真项</w:t>
      </w:r>
      <w:r>
        <w:rPr>
          <w:rFonts w:hint="eastAsia" w:ascii="宋体" w:hAnsi="宋体" w:cs="宋体"/>
          <w:b/>
          <w:bCs/>
          <w:color w:val="000000" w:themeColor="text1"/>
          <w:sz w:val="28"/>
          <w:szCs w:val="28"/>
          <w14:textFill>
            <w14:solidFill>
              <w14:schemeClr w14:val="tx1"/>
            </w14:solidFill>
          </w14:textFill>
        </w:rPr>
        <w:t>目</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40</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40</w:t>
      </w:r>
    </w:p>
    <w:p>
      <w:pPr>
        <w:snapToGri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bCs/>
          <w:color w:val="000000" w:themeColor="text1"/>
          <w:sz w:val="28"/>
          <w:szCs w:val="28"/>
          <w14:textFill>
            <w14:solidFill>
              <w14:schemeClr w14:val="tx1"/>
            </w14:solidFill>
          </w14:textFill>
        </w:rPr>
        <w:t>实验安全教育及氟硅钴产业动画演示虚拟仿真项目</w:t>
      </w:r>
    </w:p>
    <w:tbl>
      <w:tblPr>
        <w:tblStyle w:val="17"/>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bl>
    <w:p>
      <w:pPr>
        <w:pStyle w:val="11"/>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1"/>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11"/>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1"/>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40</w:t>
      </w:r>
    </w:p>
    <w:p>
      <w:pPr>
        <w:snapToGrid w:val="0"/>
        <w:spacing w:line="360" w:lineRule="auto"/>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bCs/>
          <w:color w:val="000000" w:themeColor="text1"/>
          <w:sz w:val="28"/>
          <w:szCs w:val="28"/>
          <w14:textFill>
            <w14:solidFill>
              <w14:schemeClr w14:val="tx1"/>
            </w14:solidFill>
          </w14:textFill>
        </w:rPr>
        <w:t>实验安全教育及氟硅钴产业动画演示虚拟仿真项目</w:t>
      </w:r>
    </w:p>
    <w:p>
      <w:pPr>
        <w:spacing w:line="480" w:lineRule="exact"/>
        <w:ind w:left="480"/>
        <w:rPr>
          <w:bCs/>
          <w:color w:val="000000"/>
          <w:sz w:val="28"/>
          <w:szCs w:val="28"/>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9"/>
              <w:spacing w:line="400" w:lineRule="exact"/>
              <w:ind w:firstLine="0"/>
              <w:jc w:val="center"/>
              <w:rPr>
                <w:color w:val="000000"/>
                <w:sz w:val="28"/>
                <w:szCs w:val="28"/>
              </w:rPr>
            </w:pPr>
            <w:r>
              <w:rPr>
                <w:color w:val="000000"/>
                <w:sz w:val="28"/>
                <w:szCs w:val="28"/>
              </w:rPr>
              <w:t>序号</w:t>
            </w:r>
          </w:p>
        </w:tc>
        <w:tc>
          <w:tcPr>
            <w:tcW w:w="1260" w:type="dxa"/>
            <w:vAlign w:val="center"/>
          </w:tcPr>
          <w:p>
            <w:pPr>
              <w:pStyle w:val="9"/>
              <w:spacing w:line="400" w:lineRule="exact"/>
              <w:ind w:firstLine="0"/>
              <w:jc w:val="center"/>
              <w:rPr>
                <w:color w:val="000000"/>
                <w:sz w:val="28"/>
                <w:szCs w:val="28"/>
              </w:rPr>
            </w:pPr>
            <w:r>
              <w:rPr>
                <w:color w:val="000000"/>
                <w:sz w:val="28"/>
                <w:szCs w:val="28"/>
              </w:rPr>
              <w:t>货物</w:t>
            </w:r>
          </w:p>
          <w:p>
            <w:pPr>
              <w:pStyle w:val="9"/>
              <w:spacing w:line="400" w:lineRule="exact"/>
              <w:ind w:firstLine="0"/>
              <w:jc w:val="center"/>
              <w:rPr>
                <w:color w:val="000000"/>
                <w:sz w:val="28"/>
                <w:szCs w:val="28"/>
              </w:rPr>
            </w:pPr>
            <w:r>
              <w:rPr>
                <w:color w:val="000000"/>
                <w:sz w:val="28"/>
                <w:szCs w:val="28"/>
              </w:rPr>
              <w:t>名称</w:t>
            </w:r>
          </w:p>
        </w:tc>
        <w:tc>
          <w:tcPr>
            <w:tcW w:w="540" w:type="dxa"/>
            <w:vAlign w:val="center"/>
          </w:tcPr>
          <w:p>
            <w:pPr>
              <w:pStyle w:val="9"/>
              <w:spacing w:line="400" w:lineRule="exact"/>
              <w:ind w:firstLine="0"/>
              <w:jc w:val="center"/>
              <w:rPr>
                <w:color w:val="000000"/>
                <w:sz w:val="28"/>
                <w:szCs w:val="28"/>
              </w:rPr>
            </w:pPr>
            <w:r>
              <w:rPr>
                <w:color w:val="000000"/>
                <w:sz w:val="28"/>
                <w:szCs w:val="28"/>
              </w:rPr>
              <w:t>单位</w:t>
            </w:r>
          </w:p>
        </w:tc>
        <w:tc>
          <w:tcPr>
            <w:tcW w:w="540" w:type="dxa"/>
            <w:vAlign w:val="center"/>
          </w:tcPr>
          <w:p>
            <w:pPr>
              <w:pStyle w:val="9"/>
              <w:spacing w:line="400" w:lineRule="exact"/>
              <w:ind w:firstLine="0"/>
              <w:jc w:val="center"/>
              <w:rPr>
                <w:color w:val="000000"/>
                <w:sz w:val="28"/>
                <w:szCs w:val="28"/>
              </w:rPr>
            </w:pPr>
            <w:r>
              <w:rPr>
                <w:color w:val="000000"/>
                <w:sz w:val="28"/>
                <w:szCs w:val="28"/>
              </w:rPr>
              <w:t>数量</w:t>
            </w:r>
          </w:p>
        </w:tc>
        <w:tc>
          <w:tcPr>
            <w:tcW w:w="1260" w:type="dxa"/>
            <w:vAlign w:val="center"/>
          </w:tcPr>
          <w:p>
            <w:pPr>
              <w:pStyle w:val="9"/>
              <w:spacing w:line="400" w:lineRule="exact"/>
              <w:ind w:firstLine="0"/>
              <w:jc w:val="center"/>
              <w:rPr>
                <w:color w:val="000000"/>
                <w:sz w:val="28"/>
                <w:szCs w:val="28"/>
              </w:rPr>
            </w:pPr>
            <w:r>
              <w:rPr>
                <w:color w:val="000000"/>
                <w:sz w:val="28"/>
                <w:szCs w:val="28"/>
              </w:rPr>
              <w:t>品牌</w:t>
            </w:r>
          </w:p>
        </w:tc>
        <w:tc>
          <w:tcPr>
            <w:tcW w:w="2340" w:type="dxa"/>
            <w:vAlign w:val="center"/>
          </w:tcPr>
          <w:p>
            <w:pPr>
              <w:pStyle w:val="9"/>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9"/>
              <w:spacing w:line="400" w:lineRule="exact"/>
              <w:ind w:firstLine="0"/>
              <w:jc w:val="center"/>
              <w:rPr>
                <w:color w:val="000000"/>
                <w:sz w:val="28"/>
                <w:szCs w:val="28"/>
              </w:rPr>
            </w:pPr>
            <w:r>
              <w:rPr>
                <w:color w:val="000000"/>
                <w:sz w:val="28"/>
                <w:szCs w:val="28"/>
              </w:rPr>
              <w:t>单价</w:t>
            </w:r>
          </w:p>
          <w:p>
            <w:pPr>
              <w:pStyle w:val="9"/>
              <w:spacing w:line="400" w:lineRule="exact"/>
              <w:ind w:firstLine="0"/>
              <w:jc w:val="center"/>
              <w:rPr>
                <w:color w:val="000000"/>
                <w:sz w:val="28"/>
                <w:szCs w:val="28"/>
              </w:rPr>
            </w:pPr>
            <w:r>
              <w:rPr>
                <w:color w:val="000000"/>
                <w:sz w:val="28"/>
                <w:szCs w:val="28"/>
              </w:rPr>
              <w:t>（元）</w:t>
            </w:r>
          </w:p>
        </w:tc>
        <w:tc>
          <w:tcPr>
            <w:tcW w:w="992" w:type="dxa"/>
            <w:vAlign w:val="center"/>
          </w:tcPr>
          <w:p>
            <w:pPr>
              <w:pStyle w:val="9"/>
              <w:spacing w:line="400" w:lineRule="exact"/>
              <w:ind w:firstLine="0"/>
              <w:jc w:val="center"/>
              <w:rPr>
                <w:color w:val="000000"/>
                <w:sz w:val="28"/>
                <w:szCs w:val="28"/>
              </w:rPr>
            </w:pPr>
            <w:r>
              <w:rPr>
                <w:color w:val="000000"/>
                <w:sz w:val="28"/>
                <w:szCs w:val="28"/>
              </w:rPr>
              <w:t>总价</w:t>
            </w:r>
          </w:p>
          <w:p>
            <w:pPr>
              <w:pStyle w:val="9"/>
              <w:spacing w:line="400" w:lineRule="exact"/>
              <w:ind w:firstLine="0"/>
              <w:jc w:val="center"/>
              <w:rPr>
                <w:color w:val="000000"/>
                <w:sz w:val="28"/>
                <w:szCs w:val="28"/>
              </w:rPr>
            </w:pPr>
            <w:r>
              <w:rPr>
                <w:color w:val="000000"/>
                <w:sz w:val="28"/>
                <w:szCs w:val="28"/>
              </w:rPr>
              <w:t>（元）</w:t>
            </w:r>
          </w:p>
        </w:tc>
        <w:tc>
          <w:tcPr>
            <w:tcW w:w="663" w:type="dxa"/>
            <w:vAlign w:val="center"/>
          </w:tcPr>
          <w:p>
            <w:pPr>
              <w:pStyle w:val="9"/>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9"/>
              <w:spacing w:line="400" w:lineRule="exact"/>
              <w:jc w:val="center"/>
              <w:rPr>
                <w:color w:val="000000"/>
                <w:sz w:val="28"/>
                <w:szCs w:val="28"/>
              </w:rPr>
            </w:pPr>
            <w:r>
              <w:rPr>
                <w:color w:val="000000"/>
                <w:sz w:val="28"/>
                <w:szCs w:val="28"/>
              </w:rPr>
              <w:t>1</w:t>
            </w:r>
          </w:p>
        </w:tc>
        <w:tc>
          <w:tcPr>
            <w:tcW w:w="126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2340" w:type="dxa"/>
            <w:vAlign w:val="center"/>
          </w:tcPr>
          <w:p>
            <w:pPr>
              <w:pStyle w:val="9"/>
              <w:spacing w:line="400" w:lineRule="exact"/>
              <w:jc w:val="center"/>
              <w:rPr>
                <w:color w:val="000000"/>
                <w:sz w:val="28"/>
                <w:szCs w:val="28"/>
              </w:rPr>
            </w:pPr>
          </w:p>
        </w:tc>
        <w:tc>
          <w:tcPr>
            <w:tcW w:w="1045" w:type="dxa"/>
            <w:vAlign w:val="center"/>
          </w:tcPr>
          <w:p>
            <w:pPr>
              <w:pStyle w:val="9"/>
              <w:spacing w:line="400" w:lineRule="exact"/>
              <w:jc w:val="center"/>
              <w:rPr>
                <w:color w:val="000000"/>
                <w:sz w:val="28"/>
                <w:szCs w:val="28"/>
              </w:rPr>
            </w:pPr>
          </w:p>
        </w:tc>
        <w:tc>
          <w:tcPr>
            <w:tcW w:w="992" w:type="dxa"/>
            <w:vAlign w:val="center"/>
          </w:tcPr>
          <w:p>
            <w:pPr>
              <w:pStyle w:val="9"/>
              <w:spacing w:line="400" w:lineRule="exact"/>
              <w:jc w:val="center"/>
              <w:rPr>
                <w:color w:val="000000"/>
                <w:sz w:val="28"/>
                <w:szCs w:val="28"/>
              </w:rPr>
            </w:pPr>
          </w:p>
        </w:tc>
        <w:tc>
          <w:tcPr>
            <w:tcW w:w="663" w:type="dxa"/>
            <w:vAlign w:val="center"/>
          </w:tcPr>
          <w:p>
            <w:pPr>
              <w:pStyle w:val="9"/>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2340" w:type="dxa"/>
            <w:vAlign w:val="center"/>
          </w:tcPr>
          <w:p>
            <w:pPr>
              <w:pStyle w:val="9"/>
              <w:spacing w:line="400" w:lineRule="exact"/>
              <w:jc w:val="center"/>
              <w:rPr>
                <w:color w:val="000000"/>
                <w:sz w:val="28"/>
                <w:szCs w:val="28"/>
              </w:rPr>
            </w:pPr>
          </w:p>
        </w:tc>
        <w:tc>
          <w:tcPr>
            <w:tcW w:w="1045" w:type="dxa"/>
            <w:vAlign w:val="center"/>
          </w:tcPr>
          <w:p>
            <w:pPr>
              <w:pStyle w:val="9"/>
              <w:spacing w:line="400" w:lineRule="exact"/>
              <w:jc w:val="center"/>
              <w:rPr>
                <w:color w:val="000000"/>
                <w:sz w:val="28"/>
                <w:szCs w:val="28"/>
              </w:rPr>
            </w:pPr>
          </w:p>
        </w:tc>
        <w:tc>
          <w:tcPr>
            <w:tcW w:w="992" w:type="dxa"/>
            <w:vAlign w:val="center"/>
          </w:tcPr>
          <w:p>
            <w:pPr>
              <w:pStyle w:val="9"/>
              <w:spacing w:line="400" w:lineRule="exact"/>
              <w:jc w:val="center"/>
              <w:rPr>
                <w:color w:val="000000"/>
                <w:sz w:val="28"/>
                <w:szCs w:val="28"/>
              </w:rPr>
            </w:pPr>
          </w:p>
        </w:tc>
        <w:tc>
          <w:tcPr>
            <w:tcW w:w="663" w:type="dxa"/>
            <w:vAlign w:val="center"/>
          </w:tcPr>
          <w:p>
            <w:pPr>
              <w:pStyle w:val="9"/>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2340" w:type="dxa"/>
            <w:vAlign w:val="center"/>
          </w:tcPr>
          <w:p>
            <w:pPr>
              <w:pStyle w:val="9"/>
              <w:spacing w:line="400" w:lineRule="exact"/>
              <w:jc w:val="center"/>
              <w:rPr>
                <w:color w:val="000000"/>
                <w:sz w:val="28"/>
                <w:szCs w:val="28"/>
              </w:rPr>
            </w:pPr>
          </w:p>
        </w:tc>
        <w:tc>
          <w:tcPr>
            <w:tcW w:w="1045" w:type="dxa"/>
            <w:vAlign w:val="center"/>
          </w:tcPr>
          <w:p>
            <w:pPr>
              <w:pStyle w:val="9"/>
              <w:spacing w:line="400" w:lineRule="exact"/>
              <w:jc w:val="center"/>
              <w:rPr>
                <w:color w:val="000000"/>
                <w:sz w:val="28"/>
                <w:szCs w:val="28"/>
              </w:rPr>
            </w:pPr>
          </w:p>
        </w:tc>
        <w:tc>
          <w:tcPr>
            <w:tcW w:w="992" w:type="dxa"/>
            <w:vAlign w:val="center"/>
          </w:tcPr>
          <w:p>
            <w:pPr>
              <w:pStyle w:val="9"/>
              <w:spacing w:line="400" w:lineRule="exact"/>
              <w:jc w:val="center"/>
              <w:rPr>
                <w:color w:val="000000"/>
                <w:sz w:val="28"/>
                <w:szCs w:val="28"/>
              </w:rPr>
            </w:pPr>
          </w:p>
        </w:tc>
        <w:tc>
          <w:tcPr>
            <w:tcW w:w="663" w:type="dxa"/>
            <w:vAlign w:val="center"/>
          </w:tcPr>
          <w:p>
            <w:pPr>
              <w:pStyle w:val="9"/>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2340" w:type="dxa"/>
            <w:vAlign w:val="center"/>
          </w:tcPr>
          <w:p>
            <w:pPr>
              <w:pStyle w:val="9"/>
              <w:spacing w:line="400" w:lineRule="exact"/>
              <w:jc w:val="center"/>
              <w:rPr>
                <w:color w:val="000000"/>
                <w:sz w:val="28"/>
                <w:szCs w:val="28"/>
              </w:rPr>
            </w:pPr>
          </w:p>
        </w:tc>
        <w:tc>
          <w:tcPr>
            <w:tcW w:w="1045" w:type="dxa"/>
            <w:vAlign w:val="center"/>
          </w:tcPr>
          <w:p>
            <w:pPr>
              <w:pStyle w:val="9"/>
              <w:spacing w:line="400" w:lineRule="exact"/>
              <w:jc w:val="center"/>
              <w:rPr>
                <w:color w:val="000000"/>
                <w:sz w:val="28"/>
                <w:szCs w:val="28"/>
              </w:rPr>
            </w:pPr>
          </w:p>
        </w:tc>
        <w:tc>
          <w:tcPr>
            <w:tcW w:w="992" w:type="dxa"/>
            <w:vAlign w:val="center"/>
          </w:tcPr>
          <w:p>
            <w:pPr>
              <w:pStyle w:val="9"/>
              <w:spacing w:line="400" w:lineRule="exact"/>
              <w:jc w:val="center"/>
              <w:rPr>
                <w:color w:val="000000"/>
                <w:sz w:val="28"/>
                <w:szCs w:val="28"/>
              </w:rPr>
            </w:pPr>
          </w:p>
        </w:tc>
        <w:tc>
          <w:tcPr>
            <w:tcW w:w="663" w:type="dxa"/>
            <w:vAlign w:val="center"/>
          </w:tcPr>
          <w:p>
            <w:pPr>
              <w:pStyle w:val="9"/>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2340" w:type="dxa"/>
            <w:vAlign w:val="center"/>
          </w:tcPr>
          <w:p>
            <w:pPr>
              <w:pStyle w:val="9"/>
              <w:spacing w:line="400" w:lineRule="exact"/>
              <w:jc w:val="center"/>
              <w:rPr>
                <w:color w:val="000000"/>
                <w:sz w:val="28"/>
                <w:szCs w:val="28"/>
              </w:rPr>
            </w:pPr>
          </w:p>
        </w:tc>
        <w:tc>
          <w:tcPr>
            <w:tcW w:w="1045" w:type="dxa"/>
            <w:vAlign w:val="center"/>
          </w:tcPr>
          <w:p>
            <w:pPr>
              <w:pStyle w:val="9"/>
              <w:spacing w:line="400" w:lineRule="exact"/>
              <w:jc w:val="center"/>
              <w:rPr>
                <w:color w:val="000000"/>
                <w:sz w:val="28"/>
                <w:szCs w:val="28"/>
              </w:rPr>
            </w:pPr>
          </w:p>
        </w:tc>
        <w:tc>
          <w:tcPr>
            <w:tcW w:w="992" w:type="dxa"/>
            <w:vAlign w:val="center"/>
          </w:tcPr>
          <w:p>
            <w:pPr>
              <w:pStyle w:val="9"/>
              <w:spacing w:line="400" w:lineRule="exact"/>
              <w:jc w:val="center"/>
              <w:rPr>
                <w:color w:val="000000"/>
                <w:sz w:val="28"/>
                <w:szCs w:val="28"/>
              </w:rPr>
            </w:pPr>
          </w:p>
        </w:tc>
        <w:tc>
          <w:tcPr>
            <w:tcW w:w="663" w:type="dxa"/>
            <w:vAlign w:val="center"/>
          </w:tcPr>
          <w:p>
            <w:pPr>
              <w:pStyle w:val="9"/>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540" w:type="dxa"/>
            <w:vAlign w:val="center"/>
          </w:tcPr>
          <w:p>
            <w:pPr>
              <w:pStyle w:val="9"/>
              <w:spacing w:line="400" w:lineRule="exact"/>
              <w:jc w:val="center"/>
              <w:rPr>
                <w:color w:val="000000"/>
                <w:sz w:val="28"/>
                <w:szCs w:val="28"/>
              </w:rPr>
            </w:pPr>
          </w:p>
        </w:tc>
        <w:tc>
          <w:tcPr>
            <w:tcW w:w="1260" w:type="dxa"/>
            <w:vAlign w:val="center"/>
          </w:tcPr>
          <w:p>
            <w:pPr>
              <w:pStyle w:val="9"/>
              <w:spacing w:line="400" w:lineRule="exact"/>
              <w:jc w:val="center"/>
              <w:rPr>
                <w:color w:val="000000"/>
                <w:sz w:val="28"/>
                <w:szCs w:val="28"/>
              </w:rPr>
            </w:pPr>
          </w:p>
        </w:tc>
        <w:tc>
          <w:tcPr>
            <w:tcW w:w="2340" w:type="dxa"/>
            <w:vAlign w:val="center"/>
          </w:tcPr>
          <w:p>
            <w:pPr>
              <w:pStyle w:val="9"/>
              <w:spacing w:line="400" w:lineRule="exact"/>
              <w:jc w:val="center"/>
              <w:rPr>
                <w:color w:val="000000"/>
                <w:sz w:val="28"/>
                <w:szCs w:val="28"/>
              </w:rPr>
            </w:pPr>
          </w:p>
        </w:tc>
        <w:tc>
          <w:tcPr>
            <w:tcW w:w="1045" w:type="dxa"/>
            <w:vAlign w:val="center"/>
          </w:tcPr>
          <w:p>
            <w:pPr>
              <w:pStyle w:val="9"/>
              <w:spacing w:line="400" w:lineRule="exact"/>
              <w:jc w:val="center"/>
              <w:rPr>
                <w:color w:val="000000"/>
                <w:sz w:val="28"/>
                <w:szCs w:val="28"/>
              </w:rPr>
            </w:pPr>
          </w:p>
        </w:tc>
        <w:tc>
          <w:tcPr>
            <w:tcW w:w="992" w:type="dxa"/>
            <w:vAlign w:val="center"/>
          </w:tcPr>
          <w:p>
            <w:pPr>
              <w:pStyle w:val="9"/>
              <w:spacing w:line="400" w:lineRule="exact"/>
              <w:jc w:val="center"/>
              <w:rPr>
                <w:color w:val="000000"/>
                <w:sz w:val="28"/>
                <w:szCs w:val="28"/>
              </w:rPr>
            </w:pPr>
          </w:p>
        </w:tc>
        <w:tc>
          <w:tcPr>
            <w:tcW w:w="663" w:type="dxa"/>
            <w:vAlign w:val="center"/>
          </w:tcPr>
          <w:p>
            <w:pPr>
              <w:pStyle w:val="9"/>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9"/>
              <w:spacing w:line="400" w:lineRule="exact"/>
              <w:rPr>
                <w:color w:val="000000"/>
                <w:sz w:val="28"/>
                <w:szCs w:val="28"/>
              </w:rPr>
            </w:pPr>
            <w:r>
              <w:rPr>
                <w:color w:val="000000"/>
                <w:sz w:val="28"/>
                <w:szCs w:val="28"/>
              </w:rPr>
              <w:t>合 计</w:t>
            </w:r>
          </w:p>
          <w:p>
            <w:pPr>
              <w:pStyle w:val="9"/>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9"/>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40</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bCs/>
          <w:color w:val="000000" w:themeColor="text1"/>
          <w:sz w:val="28"/>
          <w:szCs w:val="28"/>
          <w14:textFill>
            <w14:solidFill>
              <w14:schemeClr w14:val="tx1"/>
            </w14:solidFill>
          </w14:textFill>
        </w:rPr>
        <w:t>实验安全教育及氟硅钴产业动画演示虚拟仿真项目</w:t>
      </w:r>
    </w:p>
    <w:p>
      <w:pPr>
        <w:spacing w:line="480" w:lineRule="exact"/>
        <w:rPr>
          <w:bCs/>
          <w:color w:val="000000"/>
          <w:sz w:val="28"/>
          <w:szCs w:val="28"/>
        </w:rPr>
      </w:pPr>
    </w:p>
    <w:tbl>
      <w:tblPr>
        <w:tblStyle w:val="17"/>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40</w:t>
      </w:r>
    </w:p>
    <w:p>
      <w:pPr>
        <w:autoSpaceDE w:val="0"/>
        <w:autoSpaceDN w:val="0"/>
        <w:adjustRightIn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bCs/>
          <w:color w:val="000000" w:themeColor="text1"/>
          <w:sz w:val="28"/>
          <w:szCs w:val="28"/>
          <w14:textFill>
            <w14:solidFill>
              <w14:schemeClr w14:val="tx1"/>
            </w14:solidFill>
          </w14:textFill>
        </w:rPr>
        <w:t>实验安全教育及氟硅钴产业动画演示虚拟仿真项目</w:t>
      </w:r>
    </w:p>
    <w:tbl>
      <w:tblPr>
        <w:tblStyle w:val="17"/>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2022-1</w:t>
      </w:r>
      <w:r>
        <w:rPr>
          <w:rFonts w:hint="eastAsia" w:ascii="宋体" w:hAnsi="宋体" w:cs="宋体"/>
          <w:b/>
          <w:color w:val="000000"/>
          <w:sz w:val="32"/>
          <w:szCs w:val="32"/>
          <w:lang w:val="en-US" w:eastAsia="zh-CN"/>
        </w:rPr>
        <w:t>40</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bCs/>
          <w:color w:val="000000" w:themeColor="text1"/>
          <w:sz w:val="28"/>
          <w:szCs w:val="28"/>
          <w14:textFill>
            <w14:solidFill>
              <w14:schemeClr w14:val="tx1"/>
            </w14:solidFill>
          </w14:textFill>
        </w:rPr>
        <w:t>实验安全教育及氟硅钴产业动画演示虚拟仿真项目</w:t>
      </w:r>
    </w:p>
    <w:tbl>
      <w:tblPr>
        <w:tblStyle w:val="17"/>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15"/>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0"/>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6"/>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HelveticaNeue LT 55 Roman">
    <w:altName w:val="Times New Roman"/>
    <w:panose1 w:val="00000000000000000000"/>
    <w:charset w:val="00"/>
    <w:family w:val="auto"/>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CDB9CD3E"/>
    <w:multiLevelType w:val="singleLevel"/>
    <w:tmpl w:val="CDB9CD3E"/>
    <w:lvl w:ilvl="0" w:tentative="0">
      <w:start w:val="1"/>
      <w:numFmt w:val="decimal"/>
      <w:suff w:val="nothing"/>
      <w:lvlText w:val="（%1）"/>
      <w:lvlJc w:val="left"/>
      <w:pPr>
        <w:ind w:left="-210"/>
      </w:pPr>
    </w:lvl>
  </w:abstractNum>
  <w:abstractNum w:abstractNumId="2">
    <w:nsid w:val="D4C228A0"/>
    <w:multiLevelType w:val="multilevel"/>
    <w:tmpl w:val="D4C228A0"/>
    <w:lvl w:ilvl="0" w:tentative="0">
      <w:start w:val="1"/>
      <w:numFmt w:val="decimal"/>
      <w:lvlText w:val="%1）"/>
      <w:lvlJc w:val="left"/>
      <w:pPr>
        <w:ind w:left="900" w:hanging="420"/>
      </w:pPr>
      <w:rPr>
        <w:rFonts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A3359B"/>
    <w:multiLevelType w:val="singleLevel"/>
    <w:tmpl w:val="00A3359B"/>
    <w:lvl w:ilvl="0" w:tentative="0">
      <w:start w:val="1"/>
      <w:numFmt w:val="decimal"/>
      <w:suff w:val="nothing"/>
      <w:lvlText w:val="%1．"/>
      <w:lvlJc w:val="left"/>
      <w:pPr>
        <w:ind w:left="0" w:firstLine="400"/>
      </w:pPr>
      <w:rPr>
        <w:rFonts w:hint="default"/>
      </w:rPr>
    </w:lvl>
  </w:abstractNum>
  <w:abstractNum w:abstractNumId="4">
    <w:nsid w:val="0CF4F21E"/>
    <w:multiLevelType w:val="singleLevel"/>
    <w:tmpl w:val="0CF4F21E"/>
    <w:lvl w:ilvl="0" w:tentative="0">
      <w:start w:val="1"/>
      <w:numFmt w:val="decimal"/>
      <w:suff w:val="nothing"/>
      <w:lvlText w:val="%1）"/>
      <w:lvlJc w:val="left"/>
    </w:lvl>
  </w:abstractNum>
  <w:abstractNum w:abstractNumId="5">
    <w:nsid w:val="0F31437E"/>
    <w:multiLevelType w:val="multilevel"/>
    <w:tmpl w:val="0F31437E"/>
    <w:lvl w:ilvl="0" w:tentative="0">
      <w:start w:val="1"/>
      <w:numFmt w:val="decimal"/>
      <w:lvlText w:val="%1."/>
      <w:lvlJc w:val="left"/>
      <w:pPr>
        <w:ind w:left="432" w:hanging="432"/>
      </w:pPr>
      <w:rPr>
        <w:rFonts w:hint="default"/>
      </w:rPr>
    </w:lvl>
    <w:lvl w:ilvl="1" w:tentative="0">
      <w:start w:val="1"/>
      <w:numFmt w:val="decimal"/>
      <w:pStyle w:val="7"/>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20980D1C"/>
    <w:multiLevelType w:val="multilevel"/>
    <w:tmpl w:val="20980D1C"/>
    <w:lvl w:ilvl="0" w:tentative="0">
      <w:start w:val="1"/>
      <w:numFmt w:val="decimal"/>
      <w:lvlText w:val="%1）"/>
      <w:lvlJc w:val="left"/>
      <w:pPr>
        <w:ind w:left="900" w:hanging="420"/>
      </w:pPr>
      <w:rPr>
        <w:rFonts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2CE877DB"/>
    <w:multiLevelType w:val="singleLevel"/>
    <w:tmpl w:val="2CE877DB"/>
    <w:lvl w:ilvl="0" w:tentative="0">
      <w:start w:val="1"/>
      <w:numFmt w:val="decimal"/>
      <w:suff w:val="nothing"/>
      <w:lvlText w:val="%1．"/>
      <w:lvlJc w:val="left"/>
      <w:pPr>
        <w:ind w:left="0" w:firstLine="400"/>
      </w:pPr>
      <w:rPr>
        <w:rFonts w:hint="default"/>
      </w:rPr>
    </w:lvl>
  </w:abstractNum>
  <w:abstractNum w:abstractNumId="8">
    <w:nsid w:val="3BF07563"/>
    <w:multiLevelType w:val="singleLevel"/>
    <w:tmpl w:val="3BF07563"/>
    <w:lvl w:ilvl="0" w:tentative="0">
      <w:start w:val="1"/>
      <w:numFmt w:val="decimal"/>
      <w:suff w:val="nothing"/>
      <w:lvlText w:val="%1．"/>
      <w:lvlJc w:val="left"/>
      <w:pPr>
        <w:ind w:left="0" w:firstLine="400"/>
      </w:pPr>
      <w:rPr>
        <w:rFonts w:hint="default"/>
      </w:rPr>
    </w:lvl>
  </w:abstractNum>
  <w:abstractNum w:abstractNumId="9">
    <w:nsid w:val="5958DA98"/>
    <w:multiLevelType w:val="multilevel"/>
    <w:tmpl w:val="5958DA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58DB39"/>
    <w:multiLevelType w:val="multilevel"/>
    <w:tmpl w:val="5958DB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849377A"/>
    <w:multiLevelType w:val="singleLevel"/>
    <w:tmpl w:val="6849377A"/>
    <w:lvl w:ilvl="0" w:tentative="0">
      <w:start w:val="1"/>
      <w:numFmt w:val="decimal"/>
      <w:suff w:val="nothing"/>
      <w:lvlText w:val="%1．"/>
      <w:lvlJc w:val="left"/>
      <w:pPr>
        <w:ind w:left="0" w:firstLine="400"/>
      </w:pPr>
      <w:rPr>
        <w:rFonts w:hint="default"/>
      </w:rPr>
    </w:lvl>
  </w:abstractNum>
  <w:abstractNum w:abstractNumId="12">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7245202D"/>
    <w:multiLevelType w:val="singleLevel"/>
    <w:tmpl w:val="7245202D"/>
    <w:lvl w:ilvl="0" w:tentative="0">
      <w:start w:val="1"/>
      <w:numFmt w:val="decimal"/>
      <w:suff w:val="nothing"/>
      <w:lvlText w:val="%1．"/>
      <w:lvlJc w:val="left"/>
      <w:pPr>
        <w:ind w:left="0" w:firstLine="400"/>
      </w:pPr>
      <w:rPr>
        <w:rFonts w:hint="default"/>
      </w:rPr>
    </w:lvl>
  </w:abstractNum>
  <w:num w:numId="1">
    <w:abstractNumId w:val="5"/>
  </w:num>
  <w:num w:numId="2">
    <w:abstractNumId w:val="12"/>
  </w:num>
  <w:num w:numId="3">
    <w:abstractNumId w:val="0"/>
  </w:num>
  <w:num w:numId="4">
    <w:abstractNumId w:val="7"/>
  </w:num>
  <w:num w:numId="5">
    <w:abstractNumId w:val="11"/>
  </w:num>
  <w:num w:numId="6">
    <w:abstractNumId w:val="13"/>
  </w:num>
  <w:num w:numId="7">
    <w:abstractNumId w:val="3"/>
  </w:num>
  <w:num w:numId="8">
    <w:abstractNumId w:val="8"/>
  </w:num>
  <w:num w:numId="9">
    <w:abstractNumId w:val="1"/>
  </w:num>
  <w:num w:numId="10">
    <w:abstractNumId w:val="9"/>
  </w:num>
  <w:num w:numId="11">
    <w:abstractNumId w:val="10"/>
  </w:num>
  <w:num w:numId="12">
    <w:abstractNumId w:val="6"/>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554657A9"/>
    <w:rsid w:val="000038EA"/>
    <w:rsid w:val="00045CC4"/>
    <w:rsid w:val="000C4466"/>
    <w:rsid w:val="000C4B7A"/>
    <w:rsid w:val="000E208F"/>
    <w:rsid w:val="000F007A"/>
    <w:rsid w:val="001628DB"/>
    <w:rsid w:val="00213C31"/>
    <w:rsid w:val="00230AD9"/>
    <w:rsid w:val="002625A0"/>
    <w:rsid w:val="00263EC9"/>
    <w:rsid w:val="00270D4E"/>
    <w:rsid w:val="00291E75"/>
    <w:rsid w:val="00297672"/>
    <w:rsid w:val="002E4040"/>
    <w:rsid w:val="00314A27"/>
    <w:rsid w:val="0034271B"/>
    <w:rsid w:val="003A2745"/>
    <w:rsid w:val="0041649A"/>
    <w:rsid w:val="00460188"/>
    <w:rsid w:val="004A583E"/>
    <w:rsid w:val="00530F30"/>
    <w:rsid w:val="00610CD9"/>
    <w:rsid w:val="006135C7"/>
    <w:rsid w:val="00645078"/>
    <w:rsid w:val="006646C3"/>
    <w:rsid w:val="006B01C7"/>
    <w:rsid w:val="006C7953"/>
    <w:rsid w:val="006D6553"/>
    <w:rsid w:val="00710C2B"/>
    <w:rsid w:val="00746490"/>
    <w:rsid w:val="007610FE"/>
    <w:rsid w:val="00777B01"/>
    <w:rsid w:val="007D0B1E"/>
    <w:rsid w:val="007F24E4"/>
    <w:rsid w:val="0087680C"/>
    <w:rsid w:val="008F781A"/>
    <w:rsid w:val="0090770E"/>
    <w:rsid w:val="00925823"/>
    <w:rsid w:val="009808F6"/>
    <w:rsid w:val="00A146E7"/>
    <w:rsid w:val="00A246A6"/>
    <w:rsid w:val="00A40613"/>
    <w:rsid w:val="00A4452F"/>
    <w:rsid w:val="00A53575"/>
    <w:rsid w:val="00AA0447"/>
    <w:rsid w:val="00B03E38"/>
    <w:rsid w:val="00B1303F"/>
    <w:rsid w:val="00B274B6"/>
    <w:rsid w:val="00B74EEA"/>
    <w:rsid w:val="00BB02D2"/>
    <w:rsid w:val="00BD4907"/>
    <w:rsid w:val="00BE66D6"/>
    <w:rsid w:val="00C33DE0"/>
    <w:rsid w:val="00C34566"/>
    <w:rsid w:val="00CB1D6B"/>
    <w:rsid w:val="00D614E5"/>
    <w:rsid w:val="00E146AB"/>
    <w:rsid w:val="00E27786"/>
    <w:rsid w:val="00E3104E"/>
    <w:rsid w:val="00E358AF"/>
    <w:rsid w:val="00E56D07"/>
    <w:rsid w:val="00E61547"/>
    <w:rsid w:val="00E7329B"/>
    <w:rsid w:val="00E83E5E"/>
    <w:rsid w:val="00EE5ED7"/>
    <w:rsid w:val="00EF009A"/>
    <w:rsid w:val="00F10357"/>
    <w:rsid w:val="00F17B22"/>
    <w:rsid w:val="00F63AB5"/>
    <w:rsid w:val="00F91142"/>
    <w:rsid w:val="0248052C"/>
    <w:rsid w:val="03932932"/>
    <w:rsid w:val="04820ADC"/>
    <w:rsid w:val="04912ACD"/>
    <w:rsid w:val="04B62C5D"/>
    <w:rsid w:val="05F477B7"/>
    <w:rsid w:val="066F6E3E"/>
    <w:rsid w:val="06C04907"/>
    <w:rsid w:val="0A5870A5"/>
    <w:rsid w:val="0B413ED1"/>
    <w:rsid w:val="0C712CDF"/>
    <w:rsid w:val="0E641029"/>
    <w:rsid w:val="0EC817E1"/>
    <w:rsid w:val="0EF97BEC"/>
    <w:rsid w:val="0F825E34"/>
    <w:rsid w:val="0FCB0709"/>
    <w:rsid w:val="0FE4264A"/>
    <w:rsid w:val="120606BD"/>
    <w:rsid w:val="12264F09"/>
    <w:rsid w:val="12E33825"/>
    <w:rsid w:val="13F97442"/>
    <w:rsid w:val="146D3CB0"/>
    <w:rsid w:val="15E92769"/>
    <w:rsid w:val="161C0D90"/>
    <w:rsid w:val="16353C00"/>
    <w:rsid w:val="17804AB9"/>
    <w:rsid w:val="17BD7A22"/>
    <w:rsid w:val="18115FA7"/>
    <w:rsid w:val="19621D34"/>
    <w:rsid w:val="199F231A"/>
    <w:rsid w:val="19B35B07"/>
    <w:rsid w:val="19D14EA8"/>
    <w:rsid w:val="1A604FC3"/>
    <w:rsid w:val="1B6976C0"/>
    <w:rsid w:val="1DBB0E8E"/>
    <w:rsid w:val="1F5D04BD"/>
    <w:rsid w:val="1FFD730E"/>
    <w:rsid w:val="20D37635"/>
    <w:rsid w:val="21311468"/>
    <w:rsid w:val="216046C7"/>
    <w:rsid w:val="21C4408A"/>
    <w:rsid w:val="226118D9"/>
    <w:rsid w:val="241A5C0D"/>
    <w:rsid w:val="24CD14A7"/>
    <w:rsid w:val="24EF7670"/>
    <w:rsid w:val="250A440C"/>
    <w:rsid w:val="25714529"/>
    <w:rsid w:val="258027B8"/>
    <w:rsid w:val="259D3570"/>
    <w:rsid w:val="25E90563"/>
    <w:rsid w:val="25F52A64"/>
    <w:rsid w:val="267C312E"/>
    <w:rsid w:val="27736336"/>
    <w:rsid w:val="27BD5803"/>
    <w:rsid w:val="2A427ADC"/>
    <w:rsid w:val="2A5430D0"/>
    <w:rsid w:val="2A905451"/>
    <w:rsid w:val="2AC91D50"/>
    <w:rsid w:val="2B466FCD"/>
    <w:rsid w:val="2C45434C"/>
    <w:rsid w:val="2D6C4DCC"/>
    <w:rsid w:val="2DE63220"/>
    <w:rsid w:val="2F862A70"/>
    <w:rsid w:val="2FC040E2"/>
    <w:rsid w:val="304D376F"/>
    <w:rsid w:val="3203630B"/>
    <w:rsid w:val="332A1FA1"/>
    <w:rsid w:val="36767BF1"/>
    <w:rsid w:val="36913115"/>
    <w:rsid w:val="38EF3C8A"/>
    <w:rsid w:val="39C959B0"/>
    <w:rsid w:val="3C544530"/>
    <w:rsid w:val="3DA9265A"/>
    <w:rsid w:val="3E4E3201"/>
    <w:rsid w:val="3F1B484E"/>
    <w:rsid w:val="3FCE63A8"/>
    <w:rsid w:val="3FFA403C"/>
    <w:rsid w:val="407D1B7C"/>
    <w:rsid w:val="408E703E"/>
    <w:rsid w:val="42733338"/>
    <w:rsid w:val="427755DD"/>
    <w:rsid w:val="438800C3"/>
    <w:rsid w:val="441B479A"/>
    <w:rsid w:val="4441183E"/>
    <w:rsid w:val="444924A1"/>
    <w:rsid w:val="453942C3"/>
    <w:rsid w:val="45A03D5E"/>
    <w:rsid w:val="45EE4920"/>
    <w:rsid w:val="46FC7C9E"/>
    <w:rsid w:val="47D429C9"/>
    <w:rsid w:val="49026289"/>
    <w:rsid w:val="49105C83"/>
    <w:rsid w:val="49B731BC"/>
    <w:rsid w:val="4BD96800"/>
    <w:rsid w:val="4C8F47D1"/>
    <w:rsid w:val="4D606AE2"/>
    <w:rsid w:val="4E6D76D3"/>
    <w:rsid w:val="4F416B96"/>
    <w:rsid w:val="4F882277"/>
    <w:rsid w:val="4F8B538E"/>
    <w:rsid w:val="4FE65048"/>
    <w:rsid w:val="510A120A"/>
    <w:rsid w:val="51FC4FF6"/>
    <w:rsid w:val="52AA1B1A"/>
    <w:rsid w:val="53193986"/>
    <w:rsid w:val="534523DE"/>
    <w:rsid w:val="54210D44"/>
    <w:rsid w:val="54446ACD"/>
    <w:rsid w:val="54916DA7"/>
    <w:rsid w:val="549F7EBB"/>
    <w:rsid w:val="54CA13DC"/>
    <w:rsid w:val="554657A9"/>
    <w:rsid w:val="55D12837"/>
    <w:rsid w:val="55DA73FC"/>
    <w:rsid w:val="55F71C24"/>
    <w:rsid w:val="56116B96"/>
    <w:rsid w:val="562468CA"/>
    <w:rsid w:val="563A0EED"/>
    <w:rsid w:val="56A02CA6"/>
    <w:rsid w:val="576257A8"/>
    <w:rsid w:val="57CC1F77"/>
    <w:rsid w:val="581D02E0"/>
    <w:rsid w:val="58900246"/>
    <w:rsid w:val="58ED511A"/>
    <w:rsid w:val="593A0555"/>
    <w:rsid w:val="5B6C254A"/>
    <w:rsid w:val="5BE85E7A"/>
    <w:rsid w:val="5D0F19FE"/>
    <w:rsid w:val="5D884D61"/>
    <w:rsid w:val="5E7B54F5"/>
    <w:rsid w:val="5E9A1AC8"/>
    <w:rsid w:val="610F44A8"/>
    <w:rsid w:val="61260273"/>
    <w:rsid w:val="619863BE"/>
    <w:rsid w:val="61AA2758"/>
    <w:rsid w:val="61C135C0"/>
    <w:rsid w:val="628750F0"/>
    <w:rsid w:val="642821CA"/>
    <w:rsid w:val="64A87305"/>
    <w:rsid w:val="652A2743"/>
    <w:rsid w:val="65C36380"/>
    <w:rsid w:val="676F196F"/>
    <w:rsid w:val="67E350C7"/>
    <w:rsid w:val="67F012C2"/>
    <w:rsid w:val="6A334ED5"/>
    <w:rsid w:val="6ADF751A"/>
    <w:rsid w:val="6B192137"/>
    <w:rsid w:val="6B2A27A9"/>
    <w:rsid w:val="6C937B72"/>
    <w:rsid w:val="6D1A0273"/>
    <w:rsid w:val="6DD54C21"/>
    <w:rsid w:val="6E7C3CA1"/>
    <w:rsid w:val="6F3A0AB4"/>
    <w:rsid w:val="6F5E0C47"/>
    <w:rsid w:val="701E2184"/>
    <w:rsid w:val="710B1310"/>
    <w:rsid w:val="716360A0"/>
    <w:rsid w:val="716A38D3"/>
    <w:rsid w:val="72013E79"/>
    <w:rsid w:val="7218332F"/>
    <w:rsid w:val="725F5385"/>
    <w:rsid w:val="73833469"/>
    <w:rsid w:val="74784559"/>
    <w:rsid w:val="74F811F5"/>
    <w:rsid w:val="76027A75"/>
    <w:rsid w:val="76316025"/>
    <w:rsid w:val="76D108FC"/>
    <w:rsid w:val="773725F4"/>
    <w:rsid w:val="77660E3F"/>
    <w:rsid w:val="77970B28"/>
    <w:rsid w:val="78333664"/>
    <w:rsid w:val="783E4E65"/>
    <w:rsid w:val="7A51660E"/>
    <w:rsid w:val="7AD7365B"/>
    <w:rsid w:val="7B141E0A"/>
    <w:rsid w:val="7C1A141C"/>
    <w:rsid w:val="7C9F3000"/>
    <w:rsid w:val="7D0A7D18"/>
    <w:rsid w:val="7D38448C"/>
    <w:rsid w:val="7D6513F2"/>
    <w:rsid w:val="7D7F24B4"/>
    <w:rsid w:val="7F5259A6"/>
    <w:rsid w:val="DBB7953D"/>
    <w:rsid w:val="EFDF7CE9"/>
    <w:rsid w:val="FDF338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paragraph" w:styleId="7">
    <w:name w:val="heading 2"/>
    <w:basedOn w:val="1"/>
    <w:next w:val="1"/>
    <w:semiHidden/>
    <w:unhideWhenUsed/>
    <w:qFormat/>
    <w:uiPriority w:val="0"/>
    <w:pPr>
      <w:keepNext/>
      <w:numPr>
        <w:ilvl w:val="1"/>
        <w:numId w:val="1"/>
      </w:numPr>
      <w:jc w:val="center"/>
      <w:outlineLvl w:val="1"/>
    </w:pPr>
    <w:rPr>
      <w:rFonts w:ascii="楷体_GB2312" w:hAnsi="楷体_GB2312"/>
      <w:b/>
      <w:bCs/>
      <w:sz w:val="28"/>
    </w:rPr>
  </w:style>
  <w:style w:type="paragraph" w:styleId="8">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rPr>
      <w:rFonts w:ascii="Arial" w:hAnsi="Arial"/>
      <w:sz w:val="22"/>
      <w:lang w:eastAsia="en-US"/>
    </w:rPr>
  </w:style>
  <w:style w:type="paragraph" w:styleId="3">
    <w:name w:val="Body Text Indent"/>
    <w:basedOn w:val="1"/>
    <w:next w:val="2"/>
    <w:qFormat/>
    <w:uiPriority w:val="0"/>
    <w:pPr>
      <w:spacing w:after="120"/>
      <w:ind w:left="420" w:leftChars="200"/>
    </w:pPr>
  </w:style>
  <w:style w:type="paragraph" w:styleId="4">
    <w:name w:val="Body Text First Indent"/>
    <w:basedOn w:val="5"/>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5">
    <w:name w:val="Body Text"/>
    <w:basedOn w:val="1"/>
    <w:next w:val="1"/>
    <w:qFormat/>
    <w:uiPriority w:val="99"/>
    <w:pPr>
      <w:widowControl/>
      <w:jc w:val="left"/>
    </w:pPr>
    <w:rPr>
      <w:rFonts w:ascii="HelveticaNeue LT 55 Roman" w:hAnsi="HelveticaNeue LT 55 Roman"/>
      <w:kern w:val="0"/>
      <w:sz w:val="20"/>
      <w:szCs w:val="20"/>
      <w:lang w:eastAsia="nl-NL"/>
    </w:rPr>
  </w:style>
  <w:style w:type="paragraph" w:styleId="9">
    <w:name w:val="Normal Indent"/>
    <w:basedOn w:val="1"/>
    <w:qFormat/>
    <w:uiPriority w:val="0"/>
    <w:pPr>
      <w:ind w:firstLine="420"/>
    </w:pPr>
    <w:rPr>
      <w:szCs w:val="20"/>
    </w:rPr>
  </w:style>
  <w:style w:type="paragraph" w:styleId="10">
    <w:name w:val="annotation text"/>
    <w:basedOn w:val="1"/>
    <w:link w:val="28"/>
    <w:qFormat/>
    <w:uiPriority w:val="0"/>
    <w:pPr>
      <w:jc w:val="left"/>
    </w:pPr>
  </w:style>
  <w:style w:type="paragraph" w:styleId="11">
    <w:name w:val="Plain Text"/>
    <w:basedOn w:val="1"/>
    <w:link w:val="30"/>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2">
    <w:name w:val="Date"/>
    <w:basedOn w:val="1"/>
    <w:next w:val="1"/>
    <w:qFormat/>
    <w:uiPriority w:val="0"/>
    <w:pPr>
      <w:ind w:left="100" w:leftChars="2500"/>
    </w:pPr>
    <w:rPr>
      <w:rFonts w:ascii="仿宋_GB2312" w:eastAsia="仿宋_GB2312"/>
      <w:b/>
      <w:sz w:val="36"/>
      <w:szCs w:val="36"/>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Message Header"/>
    <w:basedOn w:val="1"/>
    <w:next w:val="1"/>
    <w:qFormat/>
    <w:uiPriority w:val="0"/>
    <w:pPr>
      <w:ind w:left="500" w:leftChars="500" w:hanging="1080" w:hangingChars="500"/>
    </w:pPr>
    <w:rPr>
      <w:rFonts w:ascii="Arial" w:hAnsi="Arial"/>
      <w:sz w:val="24"/>
    </w:rPr>
  </w:style>
  <w:style w:type="paragraph" w:styleId="16">
    <w:name w:val="Normal (Web)"/>
    <w:basedOn w:val="1"/>
    <w:qFormat/>
    <w:uiPriority w:val="99"/>
    <w:pPr>
      <w:widowControl/>
      <w:spacing w:before="100" w:beforeAutospacing="1" w:after="100" w:afterAutospacing="1"/>
      <w:jc w:val="left"/>
    </w:pPr>
    <w:rPr>
      <w:rFonts w:ascii="宋体" w:hAnsi="宋体"/>
      <w:kern w:val="0"/>
      <w:sz w:val="24"/>
    </w:rPr>
  </w:style>
  <w:style w:type="character" w:styleId="19">
    <w:name w:val="annotation reference"/>
    <w:basedOn w:val="18"/>
    <w:qFormat/>
    <w:uiPriority w:val="0"/>
    <w:rPr>
      <w:sz w:val="21"/>
      <w:szCs w:val="21"/>
    </w:rPr>
  </w:style>
  <w:style w:type="paragraph" w:customStyle="1" w:styleId="2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List Paragraph"/>
    <w:basedOn w:val="1"/>
    <w:qFormat/>
    <w:uiPriority w:val="34"/>
    <w:pPr>
      <w:ind w:firstLine="420" w:firstLineChars="200"/>
    </w:pPr>
  </w:style>
  <w:style w:type="paragraph" w:customStyle="1" w:styleId="22">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3">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7">
    <w:name w:val="NormalCharacter"/>
    <w:qFormat/>
    <w:uiPriority w:val="0"/>
  </w:style>
  <w:style w:type="character" w:customStyle="1" w:styleId="28">
    <w:name w:val="批注文字 Char"/>
    <w:basedOn w:val="18"/>
    <w:link w:val="10"/>
    <w:qFormat/>
    <w:uiPriority w:val="0"/>
    <w:rPr>
      <w:rFonts w:ascii="Times New Roman" w:hAnsi="Times New Roman" w:eastAsia="宋体" w:cs="Times New Roman"/>
      <w:kern w:val="2"/>
      <w:sz w:val="21"/>
      <w:szCs w:val="24"/>
    </w:rPr>
  </w:style>
  <w:style w:type="paragraph" w:customStyle="1" w:styleId="29">
    <w:name w:val="正文1"/>
    <w:qFormat/>
    <w:uiPriority w:val="0"/>
    <w:pPr>
      <w:widowControl w:val="0"/>
      <w:adjustRightInd w:val="0"/>
      <w:spacing w:line="240" w:lineRule="atLeast"/>
      <w:textAlignment w:val="baseline"/>
    </w:pPr>
    <w:rPr>
      <w:rFonts w:ascii="Courier" w:hAnsi="Courier" w:eastAsia="MingLiU" w:cs="Times New Roman"/>
      <w:sz w:val="24"/>
      <w:lang w:val="en-US" w:eastAsia="zh-TW" w:bidi="ar-SA"/>
    </w:rPr>
  </w:style>
  <w:style w:type="character" w:customStyle="1" w:styleId="30">
    <w:name w:val="纯文本 Char"/>
    <w:link w:val="11"/>
    <w:qFormat/>
    <w:uiPriority w:val="0"/>
    <w:rPr>
      <w:rFonts w:ascii="宋体" w:hAnsi="Courier New" w:eastAsia="宋体" w:cs="Times New Roman"/>
      <w:sz w:val="21"/>
    </w:rPr>
  </w:style>
  <w:style w:type="paragraph" w:customStyle="1" w:styleId="31">
    <w:name w:val="Table Paragraph"/>
    <w:basedOn w:val="1"/>
    <w:qFormat/>
    <w:uiPriority w:val="1"/>
    <w:rPr>
      <w:rFonts w:ascii="仿宋" w:hAnsi="仿宋" w:eastAsia="仿宋" w:cs="仿宋"/>
      <w:lang w:val="zh-CN" w:bidi="zh-CN"/>
    </w:rPr>
  </w:style>
  <w:style w:type="paragraph" w:customStyle="1" w:styleId="32">
    <w:name w:val="表格文字"/>
    <w:basedOn w:val="33"/>
    <w:qFormat/>
    <w:uiPriority w:val="0"/>
  </w:style>
  <w:style w:type="paragraph" w:customStyle="1" w:styleId="33">
    <w:name w:val="正文2"/>
    <w:basedOn w:val="1"/>
    <w:qFormat/>
    <w:uiPriority w:val="0"/>
    <w:rPr>
      <w:iCs/>
      <w:color w:val="000000"/>
    </w:rPr>
  </w:style>
  <w:style w:type="paragraph" w:customStyle="1" w:styleId="34">
    <w:name w:val="表格"/>
    <w:basedOn w:val="1"/>
    <w:qFormat/>
    <w:uiPriority w:val="0"/>
    <w:pPr>
      <w:spacing w:line="400" w:lineRule="exact"/>
    </w:pPr>
    <w:rPr>
      <w:sz w:val="24"/>
    </w:rPr>
  </w:style>
  <w:style w:type="character" w:customStyle="1" w:styleId="35">
    <w:name w:val="font21"/>
    <w:basedOn w:val="18"/>
    <w:qFormat/>
    <w:uiPriority w:val="0"/>
    <w:rPr>
      <w:rFonts w:hint="eastAsia" w:ascii="宋体" w:hAnsi="宋体" w:eastAsia="宋体" w:cs="宋体"/>
      <w:color w:val="000000"/>
      <w:sz w:val="21"/>
      <w:szCs w:val="21"/>
      <w:u w:val="none"/>
    </w:rPr>
  </w:style>
  <w:style w:type="paragraph" w:customStyle="1" w:styleId="36">
    <w:name w:val="列出段落11"/>
    <w:basedOn w:val="1"/>
    <w:qFormat/>
    <w:uiPriority w:val="99"/>
    <w:pPr>
      <w:suppressAutoHyphens/>
      <w:ind w:firstLine="420" w:firstLineChars="200"/>
    </w:pPr>
    <w:rPr>
      <w:rFonts w:ascii="Calibri" w:hAnsi="Calibri"/>
      <w:b/>
      <w:szCs w:val="22"/>
    </w:rPr>
  </w:style>
  <w:style w:type="paragraph" w:customStyle="1" w:styleId="37">
    <w:name w:val="列出段落1"/>
    <w:basedOn w:val="1"/>
    <w:qFormat/>
    <w:uiPriority w:val="99"/>
    <w:pPr>
      <w:ind w:firstLine="420" w:firstLineChars="200"/>
    </w:pPr>
    <w:rPr>
      <w:rFonts w:ascii="Calibri" w:hAnsi="Calibri"/>
      <w:b/>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54</Pages>
  <Words>35182</Words>
  <Characters>37563</Characters>
  <Lines>278</Lines>
  <Paragraphs>78</Paragraphs>
  <TotalTime>45</TotalTime>
  <ScaleCrop>false</ScaleCrop>
  <LinksUpToDate>false</LinksUpToDate>
  <CharactersWithSpaces>39463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2022-07-22T02:18:00Z</dcterms:created>
  <dc:creator>Administrator</dc:creator>
  <cp:lastModifiedBy>Administrator</cp:lastModifiedBy>
  <cp:lastPrinted>2022-05-25T01:31:00Z</cp:lastPrinted>
  <dcterms:modified xsi:type="dcterms:W3CDTF">2022-08-22T08:09:30Z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AF264823DF2C4DFF8A6A8DEE9B2BC768</vt:lpwstr>
  </property>
</Properties>
</file>