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exact"/>
        <w:jc w:val="center"/>
        <w:rPr>
          <w:rStyle w:val="6"/>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衢州市衢州学院</w:t>
      </w:r>
      <w:r>
        <w:rPr>
          <w:rFonts w:hint="eastAsia" w:ascii="方正小标宋简体" w:hAnsi="方正小标宋简体" w:eastAsia="方正小标宋简体" w:cs="方正小标宋简体"/>
          <w:bCs/>
          <w:spacing w:val="15"/>
          <w:sz w:val="44"/>
          <w:szCs w:val="44"/>
          <w:highlight w:val="none"/>
        </w:rPr>
        <w:t>201</w:t>
      </w:r>
      <w:r>
        <w:rPr>
          <w:rFonts w:hint="eastAsia" w:ascii="方正小标宋简体" w:hAnsi="方正小标宋简体" w:eastAsia="方正小标宋简体" w:cs="方正小标宋简体"/>
          <w:bCs/>
          <w:spacing w:val="15"/>
          <w:sz w:val="44"/>
          <w:szCs w:val="44"/>
          <w:highlight w:val="none"/>
          <w:lang w:val="en-US" w:eastAsia="zh-CN"/>
        </w:rPr>
        <w:t>8</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spacing w:beforeLines="0" w:afterLines="0" w:line="640" w:lineRule="exact"/>
        <w:ind w:right="0" w:rightChars="0" w:firstLine="590" w:firstLineChars="196"/>
        <w:textAlignment w:val="auto"/>
        <w:outlineLvl w:val="9"/>
        <w:rPr>
          <w:rStyle w:val="6"/>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27" w:firstLineChars="196"/>
        <w:textAlignment w:val="auto"/>
        <w:outlineLvl w:val="9"/>
        <w:rPr>
          <w:rStyle w:val="6"/>
          <w:rFonts w:hint="eastAsia" w:ascii="黑体" w:eastAsia="黑体"/>
          <w:b w:val="0"/>
          <w:color w:val="000000"/>
          <w:sz w:val="32"/>
          <w:szCs w:val="32"/>
          <w:highlight w:val="none"/>
        </w:rPr>
      </w:pPr>
      <w:r>
        <w:rPr>
          <w:rStyle w:val="6"/>
          <w:rFonts w:hint="eastAsia" w:ascii="黑体" w:eastAsia="黑体"/>
          <w:b w:val="0"/>
          <w:color w:val="000000"/>
          <w:sz w:val="32"/>
          <w:szCs w:val="32"/>
          <w:highlight w:val="none"/>
        </w:rPr>
        <w:t>一、</w:t>
      </w:r>
      <w:r>
        <w:rPr>
          <w:rStyle w:val="6"/>
          <w:rFonts w:hint="eastAsia" w:ascii="黑体" w:eastAsia="黑体"/>
          <w:b w:val="0"/>
          <w:color w:val="000000"/>
          <w:sz w:val="32"/>
          <w:szCs w:val="32"/>
          <w:highlight w:val="none"/>
          <w:lang w:eastAsia="zh-CN"/>
        </w:rPr>
        <w:t>衢州市衢州学院</w:t>
      </w:r>
      <w:r>
        <w:rPr>
          <w:rStyle w:val="6"/>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（一）主要职能</w:t>
      </w:r>
      <w:r>
        <w:rPr>
          <w:rFonts w:hint="eastAsia" w:ascii="楷体_GB2312" w:hAnsi="楷体_GB2312" w:eastAsia="楷体_GB2312" w:cs="楷体_GB2312"/>
          <w:b/>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1. 人才培养。坚持“育人为本、德育为先、能力为重、全面发展”的育人理念，紧扣地方产业特色开展专业建设，着力培养基础理论扎实、专业知识面宽、创新能力和自主发展能力强、具有高度社会责任感、勇于探索、善于解决问题的高素质应用型创新人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2. 科学研究。以学科建设为主线，瞄准学科前沿,加强基础研究,推动学科融合,培育新兴学科,建设重点创新平台和创新团队,以高水平科学研究提升办学特色，增强发展后劲，为人才培养和社会服务提供支撑。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3. 服务地方。立足衢州，面向浙江，服务地方，整合优势资源，推动产学研用协同创新,与企业开展深度合作 ,促进资源共享,联合开展重大科研项目攻关, 推进地方历史文化和现实发展问题研究，不断增强服务经济社会发展能力。</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4. 文化传承与创新。加强中华优秀传统文化教育，充分发挥“南孔圣地”特有的区域传统特色文化教育作用，提高学生对中华优秀传统文化的自主学习和探究能力，培养学生的文化创新意识，增强学生传承弘扬中华优秀传统文化的责任感和使命感。</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30" w:firstLineChars="196"/>
        <w:textAlignment w:val="auto"/>
        <w:outlineLvl w:val="9"/>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（二）部门预算单位构成</w:t>
      </w:r>
      <w:r>
        <w:rPr>
          <w:rFonts w:hint="eastAsia" w:ascii="楷体_GB2312" w:hAnsi="楷体_GB2312" w:eastAsia="楷体_GB2312" w:cs="楷体_GB2312"/>
          <w:b/>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27" w:firstLineChars="196"/>
        <w:textAlignment w:val="auto"/>
        <w:rPr>
          <w:rFonts w:hint="eastAsia" w:ascii="仿宋_GB2312" w:eastAsia="仿宋_GB2312"/>
          <w:bCs/>
          <w:sz w:val="32"/>
          <w:szCs w:val="32"/>
        </w:rPr>
      </w:pPr>
      <w:r>
        <w:rPr>
          <w:rFonts w:hint="eastAsia" w:ascii="仿宋_GB2312" w:eastAsia="仿宋_GB2312"/>
          <w:bCs/>
          <w:sz w:val="32"/>
          <w:szCs w:val="32"/>
        </w:rPr>
        <w:t>从预算单位构成看，衢州学院部门预算包括：衢州学院本级预算。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outlineLvl w:val="9"/>
        <w:rPr>
          <w:rFonts w:hint="eastAsia" w:ascii="楷体_GB2312" w:hAnsi="楷体_GB2312" w:eastAsia="楷体_GB2312" w:cs="楷体_GB2312"/>
          <w:b/>
          <w:color w:val="000000"/>
          <w:sz w:val="32"/>
          <w:szCs w:val="32"/>
          <w:highlight w:val="none"/>
        </w:rPr>
      </w:pPr>
      <w:r>
        <w:rPr>
          <w:rStyle w:val="6"/>
          <w:rFonts w:hint="eastAsia" w:ascii="黑体" w:eastAsia="黑体"/>
          <w:b w:val="0"/>
          <w:color w:val="000000"/>
          <w:sz w:val="32"/>
          <w:szCs w:val="32"/>
          <w:highlight w:val="none"/>
          <w:lang w:val="en-US" w:eastAsia="zh-CN"/>
        </w:rPr>
        <w:t xml:space="preserve">    </w:t>
      </w:r>
      <w:r>
        <w:rPr>
          <w:rStyle w:val="6"/>
          <w:rFonts w:hint="eastAsia" w:ascii="黑体" w:eastAsia="黑体"/>
          <w:b w:val="0"/>
          <w:color w:val="000000"/>
          <w:sz w:val="32"/>
          <w:szCs w:val="32"/>
          <w:highlight w:val="none"/>
          <w:lang w:eastAsia="zh-CN"/>
        </w:rPr>
        <w:t>二、</w:t>
      </w:r>
      <w:r>
        <w:rPr>
          <w:rStyle w:val="6"/>
          <w:rFonts w:hint="eastAsia" w:ascii="黑体" w:eastAsia="黑体"/>
          <w:b w:val="0"/>
          <w:color w:val="000000"/>
          <w:sz w:val="32"/>
          <w:szCs w:val="32"/>
        </w:rPr>
        <w:t>衢州学院</w:t>
      </w:r>
      <w:r>
        <w:rPr>
          <w:rStyle w:val="6"/>
          <w:rFonts w:hint="eastAsia" w:ascii="黑体" w:eastAsia="黑体"/>
          <w:b w:val="0"/>
          <w:color w:val="000000"/>
          <w:sz w:val="32"/>
          <w:szCs w:val="32"/>
          <w:highlight w:val="none"/>
        </w:rPr>
        <w:t>201</w:t>
      </w:r>
      <w:r>
        <w:rPr>
          <w:rStyle w:val="6"/>
          <w:rFonts w:hint="eastAsia" w:ascii="黑体" w:eastAsia="黑体"/>
          <w:b w:val="0"/>
          <w:color w:val="000000"/>
          <w:sz w:val="32"/>
          <w:szCs w:val="32"/>
          <w:highlight w:val="none"/>
          <w:lang w:val="en-US" w:eastAsia="zh-CN"/>
        </w:rPr>
        <w:t>8</w:t>
      </w:r>
      <w:r>
        <w:rPr>
          <w:rStyle w:val="6"/>
          <w:rFonts w:hint="eastAsia" w:ascii="黑体" w:eastAsia="黑体"/>
          <w:b w:val="0"/>
          <w:color w:val="000000"/>
          <w:sz w:val="32"/>
          <w:szCs w:val="32"/>
          <w:highlight w:val="none"/>
        </w:rPr>
        <w:t>年部门预算安排情况说明</w:t>
      </w:r>
      <w:r>
        <w:rPr>
          <w:rFonts w:hint="eastAsia"/>
          <w:color w:val="000000"/>
          <w:sz w:val="32"/>
          <w:szCs w:val="32"/>
          <w:highlight w:val="none"/>
        </w:rPr>
        <w:br w:type="textWrapping"/>
      </w:r>
      <w:r>
        <w:rPr>
          <w:rFonts w:hint="eastAsia" w:ascii="仿宋_GB2312" w:eastAsia="仿宋_GB2312"/>
          <w:color w:val="000000"/>
          <w:sz w:val="30"/>
          <w:szCs w:val="30"/>
          <w:highlight w:val="none"/>
        </w:rPr>
        <w:t>　　</w:t>
      </w:r>
      <w:r>
        <w:rPr>
          <w:rFonts w:hint="eastAsia" w:ascii="楷体_GB2312" w:hAnsi="楷体_GB2312" w:eastAsia="楷体_GB2312" w:cs="楷体_GB2312"/>
          <w:b/>
          <w:color w:val="000000"/>
          <w:sz w:val="32"/>
          <w:szCs w:val="32"/>
          <w:highlight w:val="none"/>
        </w:rPr>
        <w:t>（一）</w:t>
      </w:r>
      <w:r>
        <w:rPr>
          <w:rFonts w:hint="eastAsia" w:ascii="楷体_GB2312" w:hAnsi="楷体_GB2312" w:eastAsia="楷体_GB2312" w:cs="楷体_GB2312"/>
          <w:b/>
          <w:color w:val="000000"/>
          <w:sz w:val="32"/>
          <w:szCs w:val="32"/>
          <w:highlight w:val="none"/>
          <w:lang w:eastAsia="zh-CN"/>
        </w:rPr>
        <w:t>关于</w:t>
      </w:r>
      <w:r>
        <w:rPr>
          <w:rStyle w:val="6"/>
          <w:rFonts w:hint="eastAsia" w:ascii="楷体_GB2312" w:hAnsi="楷体_GB2312" w:eastAsia="楷体_GB2312" w:cs="楷体_GB2312"/>
          <w:b/>
          <w:color w:val="000000"/>
          <w:sz w:val="32"/>
          <w:szCs w:val="32"/>
          <w:highlight w:val="none"/>
          <w:lang w:eastAsia="zh-CN"/>
        </w:rPr>
        <w:t>衢州学院</w:t>
      </w:r>
      <w:r>
        <w:rPr>
          <w:rStyle w:val="6"/>
          <w:rFonts w:hint="eastAsia" w:ascii="楷体_GB2312" w:hAnsi="楷体_GB2312" w:eastAsia="楷体_GB2312" w:cs="楷体_GB2312"/>
          <w:b/>
          <w:color w:val="000000"/>
          <w:sz w:val="32"/>
          <w:szCs w:val="32"/>
          <w:highlight w:val="none"/>
        </w:rPr>
        <w:t>201</w:t>
      </w:r>
      <w:r>
        <w:rPr>
          <w:rStyle w:val="6"/>
          <w:rFonts w:hint="eastAsia" w:ascii="楷体_GB2312" w:hAnsi="楷体_GB2312" w:eastAsia="楷体_GB2312" w:cs="楷体_GB2312"/>
          <w:b/>
          <w:color w:val="000000"/>
          <w:sz w:val="32"/>
          <w:szCs w:val="32"/>
          <w:highlight w:val="none"/>
          <w:lang w:val="en-US" w:eastAsia="zh-CN"/>
        </w:rPr>
        <w:t>8</w:t>
      </w:r>
      <w:r>
        <w:rPr>
          <w:rStyle w:val="6"/>
          <w:rFonts w:hint="eastAsia" w:ascii="楷体_GB2312" w:hAnsi="楷体_GB2312" w:eastAsia="楷体_GB2312" w:cs="楷体_GB2312"/>
          <w:b/>
          <w:color w:val="000000"/>
          <w:sz w:val="32"/>
          <w:szCs w:val="32"/>
          <w:highlight w:val="none"/>
        </w:rPr>
        <w:t>年</w:t>
      </w:r>
      <w:r>
        <w:rPr>
          <w:rStyle w:val="6"/>
          <w:rFonts w:hint="eastAsia" w:ascii="楷体_GB2312" w:hAnsi="楷体_GB2312" w:eastAsia="楷体_GB2312" w:cs="楷体_GB2312"/>
          <w:b/>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highlight w:val="none"/>
          <w:lang w:eastAsia="zh-CN"/>
        </w:rPr>
        <w:t>衢州学院所有收入和支出均纳入部门预算管理。收入包括：一般公共预算拨款收入、专户资金收入、事业收入、其他收入、上年结转；支出包括：一般公共服务支出、</w:t>
      </w:r>
      <w:r>
        <w:rPr>
          <w:rFonts w:hint="eastAsia" w:ascii="仿宋_GB2312" w:eastAsia="仿宋_GB2312"/>
          <w:color w:val="000000"/>
          <w:sz w:val="32"/>
          <w:szCs w:val="32"/>
        </w:rPr>
        <w:t>科学技术支出、</w:t>
      </w:r>
      <w:r>
        <w:rPr>
          <w:rFonts w:hint="eastAsia" w:ascii="仿宋_GB2312" w:eastAsia="仿宋_GB2312"/>
          <w:color w:val="000000"/>
          <w:sz w:val="32"/>
          <w:szCs w:val="32"/>
          <w:highlight w:val="none"/>
          <w:lang w:eastAsia="zh-CN"/>
        </w:rPr>
        <w:t>社会保障和就业支出。衢州学院</w:t>
      </w:r>
      <w:r>
        <w:rPr>
          <w:rFonts w:hint="eastAsia" w:ascii="仿宋_GB2312" w:eastAsia="仿宋_GB2312"/>
          <w:color w:val="000000"/>
          <w:sz w:val="32"/>
          <w:szCs w:val="32"/>
          <w:highlight w:val="none"/>
          <w:lang w:val="en-US" w:eastAsia="zh-CN"/>
        </w:rPr>
        <w:t>2018年收支总预算21561.67 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val="en-US" w:eastAsia="zh-CN"/>
        </w:rPr>
        <w:t>（二）</w:t>
      </w:r>
      <w:r>
        <w:rPr>
          <w:rFonts w:hint="eastAsia" w:ascii="楷体_GB2312" w:hAnsi="楷体_GB2312" w:eastAsia="楷体_GB2312" w:cs="楷体_GB2312"/>
          <w:b/>
          <w:color w:val="000000"/>
          <w:sz w:val="32"/>
          <w:szCs w:val="32"/>
          <w:highlight w:val="none"/>
          <w:lang w:eastAsia="zh-CN"/>
        </w:rPr>
        <w:t>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年收入预算</w:t>
      </w:r>
      <w:r>
        <w:rPr>
          <w:rFonts w:hint="eastAsia" w:ascii="楷体_GB2312" w:hAnsi="楷体_GB2312" w:eastAsia="楷体_GB2312" w:cs="楷体_GB2312"/>
          <w:b/>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年收入预算</w:t>
      </w:r>
      <w:r>
        <w:rPr>
          <w:rFonts w:hint="eastAsia" w:ascii="仿宋_GB2312" w:eastAsia="仿宋_GB2312"/>
          <w:color w:val="000000"/>
          <w:sz w:val="32"/>
          <w:szCs w:val="32"/>
          <w:highlight w:val="none"/>
          <w:lang w:val="en-US" w:eastAsia="zh-CN"/>
        </w:rPr>
        <w:t>21561.67</w:t>
      </w:r>
      <w:r>
        <w:rPr>
          <w:rFonts w:hint="eastAsia" w:ascii="仿宋_GB2312" w:eastAsia="仿宋_GB2312"/>
          <w:color w:val="000000"/>
          <w:sz w:val="32"/>
          <w:szCs w:val="32"/>
          <w:highlight w:val="none"/>
        </w:rPr>
        <w:t xml:space="preserve"> 万元，其中：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13645.76</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63.3</w:t>
      </w:r>
      <w:r>
        <w:rPr>
          <w:rFonts w:hint="eastAsia" w:ascii="仿宋_GB2312" w:eastAsia="仿宋_GB2312"/>
          <w:color w:val="000000"/>
          <w:sz w:val="32"/>
          <w:szCs w:val="32"/>
          <w:highlight w:val="none"/>
        </w:rPr>
        <w:t xml:space="preserve">%；专户资金      </w:t>
      </w:r>
      <w:r>
        <w:rPr>
          <w:rFonts w:hint="eastAsia" w:ascii="仿宋_GB2312" w:eastAsia="仿宋_GB2312"/>
          <w:color w:val="000000"/>
          <w:sz w:val="32"/>
          <w:szCs w:val="32"/>
          <w:highlight w:val="none"/>
          <w:lang w:val="en-US" w:eastAsia="zh-CN"/>
        </w:rPr>
        <w:t>6352.95</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29.5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其他收入</w:t>
      </w:r>
      <w:r>
        <w:rPr>
          <w:rFonts w:hint="eastAsia" w:ascii="仿宋_GB2312" w:eastAsia="仿宋_GB2312"/>
          <w:color w:val="000000"/>
          <w:sz w:val="32"/>
          <w:szCs w:val="32"/>
          <w:highlight w:val="none"/>
          <w:lang w:val="en-US" w:eastAsia="zh-CN"/>
        </w:rPr>
        <w:t>202万元，占0.9%</w:t>
      </w:r>
      <w:r>
        <w:rPr>
          <w:rFonts w:hint="eastAsia" w:ascii="仿宋_GB2312" w:eastAsia="仿宋_GB2312"/>
          <w:color w:val="000000"/>
          <w:sz w:val="32"/>
          <w:szCs w:val="32"/>
          <w:highlight w:val="none"/>
        </w:rPr>
        <w:t>；上年结转</w:t>
      </w:r>
      <w:r>
        <w:rPr>
          <w:rFonts w:hint="eastAsia" w:ascii="仿宋_GB2312" w:eastAsia="仿宋_GB2312"/>
          <w:color w:val="000000"/>
          <w:sz w:val="32"/>
          <w:szCs w:val="32"/>
          <w:highlight w:val="none"/>
          <w:lang w:val="en-US" w:eastAsia="zh-CN"/>
        </w:rPr>
        <w:t>1360.96</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6.3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
          <w:color w:val="000000"/>
          <w:sz w:val="32"/>
          <w:szCs w:val="32"/>
          <w:highlight w:val="none"/>
        </w:rPr>
        <w:t>　　（</w:t>
      </w:r>
      <w:r>
        <w:rPr>
          <w:rFonts w:hint="eastAsia" w:ascii="楷体_GB2312" w:hAnsi="楷体_GB2312" w:eastAsia="楷体_GB2312" w:cs="楷体_GB2312"/>
          <w:b/>
          <w:color w:val="000000"/>
          <w:sz w:val="32"/>
          <w:szCs w:val="32"/>
          <w:highlight w:val="none"/>
          <w:lang w:eastAsia="zh-CN"/>
        </w:rPr>
        <w:t>三</w:t>
      </w:r>
      <w:r>
        <w:rPr>
          <w:rFonts w:hint="eastAsia" w:ascii="楷体_GB2312" w:hAnsi="楷体_GB2312" w:eastAsia="楷体_GB2312" w:cs="楷体_GB2312"/>
          <w:b/>
          <w:color w:val="000000"/>
          <w:sz w:val="32"/>
          <w:szCs w:val="32"/>
          <w:highlight w:val="none"/>
        </w:rPr>
        <w:t>）</w:t>
      </w:r>
      <w:r>
        <w:rPr>
          <w:rFonts w:hint="eastAsia" w:ascii="楷体_GB2312" w:hAnsi="楷体_GB2312" w:eastAsia="楷体_GB2312" w:cs="楷体_GB2312"/>
          <w:b/>
          <w:color w:val="000000"/>
          <w:sz w:val="32"/>
          <w:szCs w:val="32"/>
          <w:highlight w:val="none"/>
          <w:lang w:eastAsia="zh-CN"/>
        </w:rPr>
        <w:t>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年支出预算</w:t>
      </w:r>
      <w:r>
        <w:rPr>
          <w:rFonts w:hint="eastAsia" w:ascii="楷体_GB2312" w:hAnsi="楷体_GB2312" w:eastAsia="楷体_GB2312" w:cs="楷体_GB2312"/>
          <w:b/>
          <w:color w:val="000000"/>
          <w:sz w:val="32"/>
          <w:szCs w:val="32"/>
          <w:highlight w:val="none"/>
          <w:lang w:eastAsia="zh-CN"/>
        </w:rPr>
        <w:t>情况说明。</w:t>
      </w:r>
      <w:r>
        <w:rPr>
          <w:rFonts w:hint="eastAsia" w:ascii="仿宋_GB2312" w:eastAsia="仿宋_GB2312"/>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年支出预算</w:t>
      </w:r>
      <w:r>
        <w:rPr>
          <w:rFonts w:hint="eastAsia" w:ascii="仿宋_GB2312" w:eastAsia="仿宋_GB2312"/>
          <w:color w:val="000000"/>
          <w:sz w:val="32"/>
          <w:szCs w:val="32"/>
          <w:highlight w:val="none"/>
          <w:lang w:val="en-US" w:eastAsia="zh-CN"/>
        </w:rPr>
        <w:t>21561.67</w:t>
      </w:r>
      <w:r>
        <w:rPr>
          <w:rFonts w:hint="eastAsia" w:ascii="仿宋_GB2312" w:eastAsia="仿宋_GB2312"/>
          <w:color w:val="000000"/>
          <w:sz w:val="32"/>
          <w:szCs w:val="32"/>
          <w:highlight w:val="none"/>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按支出功能分类，</w:t>
      </w:r>
      <w:r>
        <w:rPr>
          <w:rFonts w:hint="eastAsia" w:ascii="仿宋_GB2312" w:eastAsia="仿宋_GB2312"/>
          <w:color w:val="000000"/>
          <w:sz w:val="32"/>
          <w:szCs w:val="32"/>
        </w:rPr>
        <w:t>包括教育支出</w:t>
      </w:r>
      <w:r>
        <w:rPr>
          <w:rFonts w:hint="eastAsia" w:ascii="仿宋_GB2312" w:eastAsia="仿宋_GB2312"/>
          <w:color w:val="000000"/>
          <w:sz w:val="32"/>
          <w:szCs w:val="32"/>
          <w:lang w:val="en-US" w:eastAsia="zh-CN"/>
        </w:rPr>
        <w:t>19692.93</w:t>
      </w:r>
      <w:r>
        <w:rPr>
          <w:rFonts w:hint="eastAsia" w:ascii="仿宋_GB2312" w:eastAsia="仿宋_GB2312"/>
          <w:color w:val="000000"/>
          <w:sz w:val="32"/>
          <w:szCs w:val="32"/>
        </w:rPr>
        <w:t>万元、科学技术支出</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万元、社会保障和就业支出</w:t>
      </w:r>
      <w:r>
        <w:rPr>
          <w:rFonts w:hint="eastAsia" w:ascii="仿宋_GB2312" w:eastAsia="仿宋_GB2312"/>
          <w:color w:val="000000"/>
          <w:sz w:val="32"/>
          <w:szCs w:val="32"/>
          <w:lang w:val="en-US" w:eastAsia="zh-CN"/>
        </w:rPr>
        <w:t>1780.74</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2.按支出用途分类，包括人员支出</w:t>
      </w:r>
      <w:r>
        <w:rPr>
          <w:rFonts w:hint="eastAsia" w:ascii="仿宋_GB2312" w:eastAsia="仿宋_GB2312"/>
          <w:color w:val="000000"/>
          <w:sz w:val="32"/>
          <w:szCs w:val="32"/>
          <w:highlight w:val="none"/>
          <w:lang w:val="en-US" w:eastAsia="zh-CN"/>
        </w:rPr>
        <w:t>12842.97</w:t>
      </w:r>
      <w:r>
        <w:rPr>
          <w:rFonts w:hint="eastAsia" w:ascii="仿宋_GB2312" w:eastAsia="仿宋_GB2312"/>
          <w:color w:val="000000"/>
          <w:sz w:val="32"/>
          <w:szCs w:val="32"/>
          <w:highlight w:val="none"/>
        </w:rPr>
        <w:t>万元，日常公用支出</w:t>
      </w:r>
      <w:r>
        <w:rPr>
          <w:rFonts w:hint="eastAsia" w:ascii="仿宋_GB2312" w:eastAsia="仿宋_GB2312"/>
          <w:color w:val="000000"/>
          <w:sz w:val="32"/>
          <w:szCs w:val="32"/>
          <w:highlight w:val="none"/>
          <w:lang w:val="en-US" w:eastAsia="zh-CN"/>
        </w:rPr>
        <w:t>1420.58</w:t>
      </w:r>
      <w:r>
        <w:rPr>
          <w:rFonts w:hint="eastAsia" w:ascii="仿宋_GB2312" w:eastAsia="仿宋_GB2312"/>
          <w:color w:val="000000"/>
          <w:sz w:val="32"/>
          <w:szCs w:val="32"/>
          <w:highlight w:val="none"/>
        </w:rPr>
        <w:t>万元，项目支出</w:t>
      </w:r>
      <w:r>
        <w:rPr>
          <w:rFonts w:hint="eastAsia" w:ascii="仿宋_GB2312" w:eastAsia="仿宋_GB2312"/>
          <w:color w:val="000000"/>
          <w:sz w:val="32"/>
          <w:szCs w:val="32"/>
          <w:highlight w:val="none"/>
          <w:lang w:val="en-US" w:eastAsia="zh-CN"/>
        </w:rPr>
        <w:t>7276.2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lang w:eastAsia="zh-CN"/>
        </w:rPr>
        <w:t>上缴上级支出</w:t>
      </w:r>
      <w:r>
        <w:rPr>
          <w:rFonts w:hint="eastAsia" w:ascii="仿宋_GB2312" w:eastAsia="仿宋_GB2312"/>
          <w:color w:val="000000"/>
          <w:sz w:val="32"/>
          <w:szCs w:val="32"/>
          <w:lang w:val="en-US" w:eastAsia="zh-CN"/>
        </w:rPr>
        <w:t>21.92万元</w:t>
      </w:r>
      <w:r>
        <w:rPr>
          <w:rFonts w:hint="eastAsia" w:ascii="仿宋_GB2312"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30" w:firstLineChars="196"/>
        <w:textAlignment w:val="auto"/>
        <w:outlineLvl w:val="9"/>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rPr>
        <w:t>（</w:t>
      </w:r>
      <w:r>
        <w:rPr>
          <w:rFonts w:hint="eastAsia" w:ascii="楷体_GB2312" w:hAnsi="楷体_GB2312" w:eastAsia="楷体_GB2312" w:cs="楷体_GB2312"/>
          <w:b/>
          <w:color w:val="000000"/>
          <w:sz w:val="32"/>
          <w:szCs w:val="32"/>
          <w:highlight w:val="none"/>
          <w:lang w:eastAsia="zh-CN"/>
        </w:rPr>
        <w:t>四</w:t>
      </w:r>
      <w:r>
        <w:rPr>
          <w:rFonts w:hint="eastAsia" w:ascii="楷体_GB2312" w:hAnsi="楷体_GB2312" w:eastAsia="楷体_GB2312" w:cs="楷体_GB2312"/>
          <w:b/>
          <w:color w:val="000000"/>
          <w:sz w:val="32"/>
          <w:szCs w:val="32"/>
          <w:highlight w:val="none"/>
        </w:rPr>
        <w:t>）</w:t>
      </w:r>
      <w:r>
        <w:rPr>
          <w:rFonts w:hint="eastAsia" w:ascii="楷体_GB2312" w:hAnsi="楷体_GB2312" w:eastAsia="楷体_GB2312" w:cs="楷体_GB2312"/>
          <w:b/>
          <w:color w:val="000000"/>
          <w:sz w:val="32"/>
          <w:szCs w:val="32"/>
          <w:highlight w:val="none"/>
          <w:lang w:eastAsia="zh-CN"/>
        </w:rPr>
        <w:t>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年财政拨款</w:t>
      </w:r>
      <w:r>
        <w:rPr>
          <w:rFonts w:hint="eastAsia" w:ascii="楷体_GB2312" w:hAnsi="楷体_GB2312" w:eastAsia="楷体_GB2312" w:cs="楷体_GB2312"/>
          <w:b/>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2018年财政拨款收支总预算13645.76 万元。包括：一般公共预算拨款收入13645.76万元；支出包括：一般公共服务支出13645.76万元。</w:t>
      </w:r>
    </w:p>
    <w:p>
      <w:pPr>
        <w:keepNext w:val="0"/>
        <w:keepLines w:val="0"/>
        <w:pageBreakBefore w:val="0"/>
        <w:numPr>
          <w:ilvl w:val="0"/>
          <w:numId w:val="1"/>
        </w:numPr>
        <w:kinsoku/>
        <w:wordWrap/>
        <w:overflowPunct/>
        <w:topLinePunct w:val="0"/>
        <w:autoSpaceDE/>
        <w:autoSpaceDN/>
        <w:bidi w:val="0"/>
        <w:adjustRightInd/>
        <w:snapToGrid/>
        <w:spacing w:beforeLines="0" w:afterLines="0" w:line="500" w:lineRule="exact"/>
        <w:ind w:left="0" w:leftChars="0" w:right="0" w:rightChars="0" w:firstLine="640"/>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eastAsia="zh-CN"/>
        </w:rPr>
        <w:t>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w:t>
      </w:r>
      <w:r>
        <w:rPr>
          <w:rFonts w:hint="eastAsia" w:ascii="楷体_GB2312" w:hAnsi="楷体_GB2312" w:eastAsia="楷体_GB2312" w:cs="楷体_GB2312"/>
          <w:b/>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textAlignment w:val="auto"/>
        <w:outlineLvl w:val="9"/>
        <w:rPr>
          <w:rFonts w:hint="eastAsia" w:ascii="楷体_GB2312" w:hAnsi="楷体_GB2312" w:eastAsia="楷体_GB2312" w:cs="楷体_GB2312"/>
          <w:b/>
          <w:color w:val="000000"/>
          <w:sz w:val="32"/>
          <w:szCs w:val="32"/>
          <w:highlight w:val="none"/>
          <w:lang w:val="en-US" w:eastAsia="zh-CN"/>
        </w:rPr>
      </w:pPr>
      <w:r>
        <w:rPr>
          <w:rFonts w:hint="eastAsia" w:ascii="楷体_GB2312" w:hAnsi="楷体_GB2312" w:eastAsia="楷体_GB2312" w:cs="楷体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lang w:val="en-US" w:eastAsia="zh-CN"/>
        </w:rPr>
        <w:t>2018年一般公共预算当年拨款13645.76 万元，比2017年执行数减少1700.83万元，主要是2018年初预算中部门考核工作经费未全额列入，另中央财政支持地方高校发展专项资金具体金额未明确</w:t>
      </w:r>
      <w:bookmarkStart w:id="0" w:name="_GoBack"/>
      <w:bookmarkEnd w:id="0"/>
      <w:r>
        <w:rPr>
          <w:rFonts w:hint="eastAsia" w:ascii="仿宋_GB2312" w:eastAsia="仿宋_GB2312"/>
          <w:color w:val="000000"/>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textAlignment w:val="auto"/>
        <w:outlineLvl w:val="9"/>
        <w:rPr>
          <w:rFonts w:hint="eastAsia" w:ascii="楷体_GB2312" w:hAnsi="楷体_GB2312" w:eastAsia="楷体_GB2312" w:cs="楷体_GB2312"/>
          <w:b/>
          <w:color w:val="000000"/>
          <w:sz w:val="32"/>
          <w:szCs w:val="32"/>
          <w:highlight w:val="none"/>
          <w:lang w:val="en-US" w:eastAsia="zh-CN"/>
        </w:rPr>
      </w:pPr>
      <w:r>
        <w:rPr>
          <w:rFonts w:hint="eastAsia" w:ascii="楷体_GB2312" w:hAnsi="楷体_GB2312" w:eastAsia="楷体_GB2312" w:cs="楷体_GB2312"/>
          <w:b/>
          <w:color w:val="000000"/>
          <w:sz w:val="32"/>
          <w:szCs w:val="32"/>
          <w:highlight w:val="none"/>
          <w:lang w:val="en-US" w:eastAsia="zh-CN"/>
        </w:rPr>
        <w:t>2.一般公共预算当年拨款结构情况。</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rPr>
        <w:t>教育支出（类）</w:t>
      </w:r>
      <w:r>
        <w:rPr>
          <w:rFonts w:hint="eastAsia" w:ascii="仿宋_GB2312" w:eastAsia="仿宋_GB2312"/>
          <w:color w:val="000000"/>
          <w:sz w:val="32"/>
          <w:szCs w:val="32"/>
          <w:lang w:val="en-US" w:eastAsia="zh-CN"/>
        </w:rPr>
        <w:t>11777.02</w:t>
      </w:r>
      <w:r>
        <w:rPr>
          <w:rFonts w:hint="eastAsia" w:ascii="仿宋_GB2312" w:eastAsia="仿宋_GB2312"/>
          <w:color w:val="000000"/>
          <w:sz w:val="32"/>
          <w:szCs w:val="32"/>
        </w:rPr>
        <w:t>万元，占86.</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 xml:space="preserve">%；科学技术支出（类） </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万元，占0.</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 xml:space="preserve"> %；社会保障和就业支出</w:t>
      </w:r>
      <w:r>
        <w:rPr>
          <w:rFonts w:hint="eastAsia" w:ascii="仿宋_GB2312" w:eastAsia="仿宋_GB2312"/>
          <w:color w:val="000000"/>
          <w:sz w:val="32"/>
          <w:szCs w:val="32"/>
          <w:lang w:val="en-US" w:eastAsia="zh-CN"/>
        </w:rPr>
        <w:t>1780.74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 xml:space="preserve">  </w:t>
      </w:r>
      <w:r>
        <w:rPr>
          <w:rFonts w:hint="eastAsia" w:ascii="楷体_GB2312" w:hAnsi="楷体_GB2312" w:eastAsia="楷体_GB2312" w:cs="楷体_GB2312"/>
          <w:b/>
          <w:color w:val="000000"/>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（1）教育支出（类）→普通教育（款）→高等教育（项）事务</w:t>
      </w:r>
      <w:r>
        <w:rPr>
          <w:rFonts w:hint="eastAsia" w:ascii="仿宋_GB2312" w:eastAsia="仿宋_GB2312"/>
          <w:color w:val="000000"/>
          <w:sz w:val="32"/>
          <w:szCs w:val="32"/>
          <w:lang w:val="en-US" w:eastAsia="zh-CN"/>
        </w:rPr>
        <w:t>10594.69</w:t>
      </w:r>
      <w:r>
        <w:rPr>
          <w:rFonts w:hint="eastAsia" w:ascii="仿宋_GB2312" w:eastAsia="仿宋_GB2312"/>
          <w:color w:val="000000"/>
          <w:sz w:val="32"/>
          <w:szCs w:val="32"/>
        </w:rPr>
        <w:t>万元，主要用于人员支出</w:t>
      </w:r>
      <w:r>
        <w:rPr>
          <w:rFonts w:hint="eastAsia" w:ascii="仿宋_GB2312" w:eastAsia="仿宋_GB2312"/>
          <w:color w:val="000000"/>
          <w:sz w:val="32"/>
          <w:szCs w:val="32"/>
          <w:lang w:val="en-US" w:eastAsia="zh-CN"/>
        </w:rPr>
        <w:t>8997.23</w:t>
      </w:r>
      <w:r>
        <w:rPr>
          <w:rFonts w:hint="eastAsia" w:ascii="仿宋_GB2312" w:eastAsia="仿宋_GB2312"/>
          <w:color w:val="000000"/>
          <w:sz w:val="32"/>
          <w:szCs w:val="32"/>
        </w:rPr>
        <w:t>万元、“中国哲学与文化研究中心”支出30万元、省补奖助学金等</w:t>
      </w:r>
      <w:r>
        <w:rPr>
          <w:rFonts w:hint="eastAsia" w:ascii="仿宋_GB2312" w:eastAsia="仿宋_GB2312"/>
          <w:color w:val="000000"/>
          <w:sz w:val="32"/>
          <w:szCs w:val="32"/>
          <w:lang w:val="en-US" w:eastAsia="zh-CN"/>
        </w:rPr>
        <w:t>1567.46</w:t>
      </w:r>
      <w:r>
        <w:rPr>
          <w:rFonts w:hint="eastAsia" w:ascii="仿宋_GB2312" w:eastAsia="仿宋_GB2312"/>
          <w:color w:val="00000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（2）教育支出（类）→教育费附加安排的支出（款）→其他教育费附加安排的支出（项）事务</w:t>
      </w:r>
      <w:r>
        <w:rPr>
          <w:rFonts w:hint="eastAsia" w:ascii="仿宋_GB2312" w:eastAsia="仿宋_GB2312"/>
          <w:color w:val="000000"/>
          <w:sz w:val="32"/>
          <w:szCs w:val="32"/>
          <w:lang w:val="en-US" w:eastAsia="zh-CN"/>
        </w:rPr>
        <w:t>1182.33</w:t>
      </w:r>
      <w:r>
        <w:rPr>
          <w:rFonts w:hint="eastAsia" w:ascii="仿宋_GB2312" w:eastAsia="仿宋_GB2312"/>
          <w:color w:val="000000"/>
          <w:sz w:val="32"/>
          <w:szCs w:val="32"/>
        </w:rPr>
        <w:t>万元，主要用于高校</w:t>
      </w:r>
      <w:r>
        <w:rPr>
          <w:rFonts w:hint="eastAsia" w:ascii="仿宋_GB2312" w:eastAsia="仿宋_GB2312"/>
          <w:color w:val="000000"/>
          <w:sz w:val="32"/>
          <w:szCs w:val="32"/>
          <w:lang w:eastAsia="zh-CN"/>
        </w:rPr>
        <w:t>分类考核绩效补助</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900</w:t>
      </w:r>
      <w:r>
        <w:rPr>
          <w:rFonts w:hint="eastAsia" w:ascii="仿宋_GB2312" w:eastAsia="仿宋_GB2312"/>
          <w:color w:val="000000"/>
          <w:sz w:val="32"/>
          <w:szCs w:val="32"/>
        </w:rPr>
        <w:t>万元、衢州学院二期建设资金</w:t>
      </w:r>
      <w:r>
        <w:rPr>
          <w:rFonts w:ascii="仿宋_GB2312" w:eastAsia="仿宋_GB2312"/>
          <w:color w:val="000000"/>
          <w:sz w:val="32"/>
          <w:szCs w:val="32"/>
        </w:rPr>
        <w:t>282.33</w:t>
      </w:r>
      <w:r>
        <w:rPr>
          <w:rFonts w:hint="eastAsia" w:ascii="仿宋_GB2312" w:eastAsia="仿宋_GB2312"/>
          <w:color w:val="00000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（3）科学技术支出（类）→技术研究与开发（款）→应用技术研究与开发（项）事务</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万元，主要用于201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年省级科技型中小企业扶持和科技发展专项资金</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（4）社会保障和就业支出（类）→行政事业单位离退休（款）→机关事业单位基本养老保险缴费支出（项）事务</w:t>
      </w:r>
      <w:r>
        <w:rPr>
          <w:rFonts w:hint="eastAsia" w:ascii="仿宋_GB2312" w:eastAsia="仿宋_GB2312"/>
          <w:color w:val="000000"/>
          <w:sz w:val="32"/>
          <w:szCs w:val="32"/>
          <w:lang w:val="en-US" w:eastAsia="zh-CN"/>
        </w:rPr>
        <w:t>1217.34</w:t>
      </w:r>
      <w:r>
        <w:rPr>
          <w:rFonts w:hint="eastAsia" w:ascii="仿宋_GB2312" w:eastAsia="仿宋_GB2312"/>
          <w:color w:val="000000"/>
          <w:sz w:val="32"/>
          <w:szCs w:val="32"/>
        </w:rPr>
        <w:t>万元，主要用于养老保险缴费</w:t>
      </w:r>
      <w:r>
        <w:rPr>
          <w:rFonts w:hint="eastAsia" w:ascii="仿宋_GB2312" w:eastAsia="仿宋_GB2312"/>
          <w:color w:val="000000"/>
          <w:sz w:val="32"/>
          <w:szCs w:val="32"/>
          <w:lang w:val="en-US" w:eastAsia="zh-CN"/>
        </w:rPr>
        <w:t>1217.34</w:t>
      </w:r>
      <w:r>
        <w:rPr>
          <w:rFonts w:hint="eastAsia" w:ascii="仿宋_GB2312" w:eastAsia="仿宋_GB2312"/>
          <w:color w:val="00000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（5）社会保障和就业支出（类）→行政事业单位离退休（款）→机关事业单位职业年金缴费支出（项）事务</w:t>
      </w:r>
      <w:r>
        <w:rPr>
          <w:rFonts w:hint="eastAsia" w:ascii="仿宋_GB2312" w:eastAsia="仿宋_GB2312"/>
          <w:color w:val="000000"/>
          <w:sz w:val="32"/>
          <w:szCs w:val="32"/>
          <w:lang w:val="en-US" w:eastAsia="zh-CN"/>
        </w:rPr>
        <w:t>486.94</w:t>
      </w:r>
      <w:r>
        <w:rPr>
          <w:rFonts w:hint="eastAsia" w:ascii="仿宋_GB2312" w:eastAsia="仿宋_GB2312"/>
          <w:color w:val="000000"/>
          <w:sz w:val="32"/>
          <w:szCs w:val="32"/>
        </w:rPr>
        <w:t>万元，主要用于职业年金缴费</w:t>
      </w:r>
      <w:r>
        <w:rPr>
          <w:rFonts w:hint="eastAsia" w:ascii="仿宋_GB2312" w:eastAsia="仿宋_GB2312"/>
          <w:color w:val="000000"/>
          <w:sz w:val="32"/>
          <w:szCs w:val="32"/>
          <w:lang w:val="en-US" w:eastAsia="zh-CN"/>
        </w:rPr>
        <w:t>486.94</w:t>
      </w:r>
      <w:r>
        <w:rPr>
          <w:rFonts w:hint="eastAsia" w:ascii="仿宋_GB2312" w:eastAsia="仿宋_GB2312"/>
          <w:color w:val="000000"/>
          <w:sz w:val="32"/>
          <w:szCs w:val="32"/>
        </w:rPr>
        <w:t>万元。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w:t>
      </w:r>
      <w:r>
        <w:rPr>
          <w:rFonts w:hint="eastAsia" w:ascii="仿宋_GB2312" w:eastAsia="仿宋_GB2312"/>
          <w:color w:val="000000"/>
          <w:sz w:val="32"/>
          <w:szCs w:val="32"/>
        </w:rPr>
        <w:t>社会保障和就业支出（类）→行政事业单位离退休（款）→</w:t>
      </w:r>
      <w:r>
        <w:rPr>
          <w:rFonts w:hint="eastAsia" w:ascii="仿宋_GB2312" w:eastAsia="仿宋_GB2312"/>
          <w:color w:val="000000"/>
          <w:sz w:val="32"/>
          <w:szCs w:val="32"/>
          <w:lang w:eastAsia="zh-CN"/>
        </w:rPr>
        <w:t>其他行政事业单位离退休支出（项）事务</w:t>
      </w:r>
      <w:r>
        <w:rPr>
          <w:rFonts w:hint="eastAsia" w:ascii="仿宋_GB2312" w:eastAsia="仿宋_GB2312"/>
          <w:color w:val="000000"/>
          <w:sz w:val="32"/>
          <w:szCs w:val="32"/>
          <w:lang w:val="en-US" w:eastAsia="zh-CN"/>
        </w:rPr>
        <w:t>76.46万元。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val="en-US" w:eastAsia="zh-CN"/>
        </w:rPr>
        <w:t xml:space="preserve">    （六）</w:t>
      </w:r>
      <w:r>
        <w:rPr>
          <w:rFonts w:hint="eastAsia" w:ascii="楷体_GB2312" w:hAnsi="楷体_GB2312" w:eastAsia="楷体_GB2312" w:cs="楷体_GB2312"/>
          <w:b/>
          <w:color w:val="000000"/>
          <w:sz w:val="32"/>
          <w:szCs w:val="32"/>
          <w:highlight w:val="none"/>
          <w:lang w:eastAsia="zh-CN"/>
        </w:rPr>
        <w:t>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w:t>
      </w:r>
      <w:r>
        <w:rPr>
          <w:rFonts w:hint="eastAsia" w:ascii="楷体_GB2312" w:hAnsi="楷体_GB2312" w:eastAsia="楷体_GB2312" w:cs="楷体_GB2312"/>
          <w:b/>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衢州学院</w:t>
      </w:r>
      <w:r>
        <w:rPr>
          <w:rFonts w:hint="eastAsia"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10777.97万元，其中：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10777.97万元，主要包括：基本工资、津贴补贴、奖金、绩效工资、机关事业单位基本养老保险缴费、职业年金缴费、城镇职工基本医疗保险缴费、其他社会保障缴费、住房公积金、其他工资福利支出、离休费、抚恤金、生活补助、其他对个人和家庭的补助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 0万元，衢州学院2018年没有使用一般公共预算拨款安排的支出。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textAlignment w:val="auto"/>
        <w:outlineLvl w:val="9"/>
        <w:rPr>
          <w:rFonts w:hint="eastAsia" w:ascii="楷体_GB2312" w:hAnsi="楷体_GB2312" w:eastAsia="楷体_GB2312" w:cs="楷体_GB2312"/>
          <w:b/>
          <w:color w:val="000000"/>
          <w:sz w:val="32"/>
          <w:szCs w:val="32"/>
          <w:highlight w:val="none"/>
          <w:lang w:eastAsia="zh-CN"/>
        </w:rPr>
      </w:pPr>
      <w:r>
        <w:rPr>
          <w:rFonts w:hint="eastAsia" w:ascii="楷体_GB2312" w:hAnsi="楷体_GB2312" w:eastAsia="楷体_GB2312" w:cs="楷体_GB2312"/>
          <w:b/>
          <w:color w:val="000000"/>
          <w:sz w:val="32"/>
          <w:szCs w:val="32"/>
          <w:highlight w:val="none"/>
          <w:lang w:eastAsia="zh-CN"/>
        </w:rPr>
        <w:t>（七）关于衢州学院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w:t>
      </w:r>
      <w:r>
        <w:rPr>
          <w:rFonts w:hint="eastAsia" w:ascii="楷体_GB2312" w:hAnsi="楷体_GB2312" w:eastAsia="楷体_GB2312" w:cs="楷体_GB2312"/>
          <w:b/>
          <w:color w:val="000000"/>
          <w:sz w:val="32"/>
          <w:szCs w:val="32"/>
          <w:highlight w:val="none"/>
          <w:lang w:eastAsia="zh-CN"/>
        </w:rPr>
        <w:t>政府性基金预算支出情况说明。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 xml:space="preserve">    衢州学院2018年没有使用政府性基金预算拨款安排的支出。</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30" w:firstLineChars="196"/>
        <w:textAlignment w:val="auto"/>
        <w:outlineLvl w:val="9"/>
        <w:rPr>
          <w:rFonts w:hint="eastAsia" w:ascii="楷体_GB2312" w:hAnsi="楷体_GB2312" w:eastAsia="楷体_GB2312" w:cs="楷体_GB2312"/>
          <w:b/>
          <w:color w:val="000000"/>
          <w:sz w:val="32"/>
          <w:szCs w:val="32"/>
          <w:highlight w:val="none"/>
        </w:rPr>
      </w:pPr>
      <w:r>
        <w:rPr>
          <w:rFonts w:hint="eastAsia" w:ascii="楷体_GB2312" w:hAnsi="楷体_GB2312" w:eastAsia="楷体_GB2312" w:cs="楷体_GB2312"/>
          <w:b/>
          <w:color w:val="000000"/>
          <w:sz w:val="32"/>
          <w:szCs w:val="32"/>
          <w:highlight w:val="none"/>
          <w:lang w:eastAsia="zh-CN"/>
        </w:rPr>
        <w:t>（八）关于衢州学院</w:t>
      </w:r>
      <w:r>
        <w:rPr>
          <w:rFonts w:hint="eastAsia" w:ascii="楷体_GB2312" w:hAnsi="楷体_GB2312" w:eastAsia="楷体_GB2312" w:cs="楷体_GB2312"/>
          <w:b/>
          <w:color w:val="000000"/>
          <w:sz w:val="32"/>
          <w:szCs w:val="32"/>
          <w:highlight w:val="none"/>
        </w:rPr>
        <w:t>201</w:t>
      </w:r>
      <w:r>
        <w:rPr>
          <w:rFonts w:hint="eastAsia" w:ascii="楷体_GB2312" w:hAnsi="楷体_GB2312" w:eastAsia="楷体_GB2312" w:cs="楷体_GB2312"/>
          <w:b/>
          <w:color w:val="000000"/>
          <w:sz w:val="32"/>
          <w:szCs w:val="32"/>
          <w:highlight w:val="none"/>
          <w:lang w:val="en-US" w:eastAsia="zh-CN"/>
        </w:rPr>
        <w:t>8</w:t>
      </w:r>
      <w:r>
        <w:rPr>
          <w:rFonts w:hint="eastAsia" w:ascii="楷体_GB2312" w:hAnsi="楷体_GB2312" w:eastAsia="楷体_GB2312" w:cs="楷体_GB2312"/>
          <w:b/>
          <w:color w:val="000000"/>
          <w:sz w:val="32"/>
          <w:szCs w:val="32"/>
          <w:highlight w:val="none"/>
        </w:rPr>
        <w:t>年</w:t>
      </w:r>
      <w:r>
        <w:rPr>
          <w:rFonts w:hint="eastAsia" w:ascii="楷体_GB2312" w:hAnsi="楷体_GB2312" w:eastAsia="楷体_GB2312" w:cs="楷体_GB2312"/>
          <w:b/>
          <w:sz w:val="32"/>
          <w:szCs w:val="32"/>
          <w:highlight w:val="none"/>
          <w:lang w:eastAsia="zh-CN"/>
        </w:rPr>
        <w:t>一般公共预算</w:t>
      </w:r>
      <w:r>
        <w:rPr>
          <w:rFonts w:hint="eastAsia" w:ascii="楷体_GB2312" w:hAnsi="楷体_GB2312" w:eastAsia="楷体_GB2312" w:cs="楷体_GB2312"/>
          <w:b/>
          <w:color w:val="000000"/>
          <w:sz w:val="32"/>
          <w:szCs w:val="32"/>
          <w:highlight w:val="none"/>
        </w:rPr>
        <w:t>“三公”经费预算情况</w:t>
      </w:r>
      <w:r>
        <w:rPr>
          <w:rFonts w:hint="eastAsia" w:ascii="楷体_GB2312" w:hAnsi="楷体_GB2312" w:eastAsia="楷体_GB2312" w:cs="楷体_GB2312"/>
          <w:b/>
          <w:color w:val="000000"/>
          <w:sz w:val="32"/>
          <w:szCs w:val="32"/>
          <w:highlight w:val="none"/>
          <w:lang w:eastAsia="zh-CN"/>
        </w:rPr>
        <w:t>说明。</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仿宋_GB2312" w:eastAsia="仿宋_GB2312"/>
          <w:b/>
          <w:bCs/>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衢州学院2018年没有使用一般公共预算拨款安排的支出。（2018年在学校专户资金中安排因公出国（境）费用50万元；公务接待费65.63万元；公务用车运行维护费74万元。与上年持平。）</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30" w:firstLineChars="196"/>
        <w:textAlignment w:val="auto"/>
        <w:outlineLvl w:val="9"/>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w:t>
      </w:r>
      <w:r>
        <w:rPr>
          <w:rFonts w:hint="eastAsia" w:ascii="楷体_GB2312" w:hAnsi="楷体_GB2312" w:eastAsia="楷体_GB2312" w:cs="楷体_GB2312"/>
          <w:b/>
          <w:sz w:val="32"/>
          <w:szCs w:val="32"/>
          <w:highlight w:val="none"/>
          <w:lang w:eastAsia="zh-CN"/>
        </w:rPr>
        <w:t>九</w:t>
      </w:r>
      <w:r>
        <w:rPr>
          <w:rFonts w:hint="eastAsia" w:ascii="楷体_GB2312" w:hAnsi="楷体_GB2312" w:eastAsia="楷体_GB2312" w:cs="楷体_GB2312"/>
          <w:b/>
          <w:sz w:val="32"/>
          <w:szCs w:val="32"/>
          <w:highlight w:val="none"/>
        </w:rPr>
        <w:t>）其他重要事项的情况说明</w:t>
      </w:r>
      <w:r>
        <w:rPr>
          <w:rFonts w:hint="eastAsia" w:ascii="楷体_GB2312" w:hAnsi="楷体_GB2312" w:eastAsia="楷体_GB2312" w:cs="楷体_GB2312"/>
          <w:b/>
          <w:sz w:val="32"/>
          <w:szCs w:val="32"/>
          <w:highlight w:val="none"/>
          <w:lang w:eastAsia="zh-CN"/>
        </w:rPr>
        <w:t>。</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00"/>
        <w:textAlignment w:val="auto"/>
        <w:outlineLvl w:val="9"/>
        <w:rPr>
          <w:rFonts w:hint="eastAsia" w:ascii="仿宋_GB2312" w:eastAsia="仿宋_GB2312"/>
          <w:b/>
          <w:bCs/>
          <w:sz w:val="32"/>
          <w:szCs w:val="32"/>
          <w:highlight w:val="none"/>
          <w:u w:val="none"/>
          <w:lang w:eastAsia="zh-CN"/>
        </w:rPr>
      </w:pPr>
      <w:r>
        <w:rPr>
          <w:rFonts w:hint="eastAsia" w:ascii="仿宋_GB2312" w:eastAsia="仿宋_GB2312"/>
          <w:b/>
          <w:bCs/>
          <w:sz w:val="32"/>
          <w:szCs w:val="32"/>
          <w:highlight w:val="none"/>
          <w:u w:val="none"/>
          <w:lang w:val="en-US" w:eastAsia="zh-CN"/>
        </w:rPr>
        <w:t>1.</w:t>
      </w:r>
      <w:r>
        <w:rPr>
          <w:rFonts w:hint="eastAsia" w:ascii="仿宋_GB2312" w:eastAsia="仿宋_GB2312"/>
          <w:b/>
          <w:bCs/>
          <w:sz w:val="32"/>
          <w:szCs w:val="32"/>
          <w:highlight w:val="none"/>
          <w:u w:val="none"/>
          <w:lang w:eastAsia="zh-CN"/>
        </w:rPr>
        <w:t>机关运行经费。</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2018年</w:t>
      </w:r>
      <w:r>
        <w:rPr>
          <w:rFonts w:hint="eastAsia" w:ascii="仿宋_GB2312" w:eastAsia="仿宋_GB2312"/>
          <w:color w:val="000000"/>
          <w:sz w:val="32"/>
          <w:szCs w:val="32"/>
          <w:highlight w:val="none"/>
          <w:lang w:eastAsia="zh-CN"/>
        </w:rPr>
        <w:t>衢州学院的机关运行经费财政拨款预算</w:t>
      </w:r>
      <w:r>
        <w:rPr>
          <w:rFonts w:hint="eastAsia" w:ascii="仿宋_GB2312" w:eastAsia="仿宋_GB2312"/>
          <w:color w:val="000000"/>
          <w:sz w:val="32"/>
          <w:szCs w:val="32"/>
          <w:highlight w:val="none"/>
          <w:lang w:val="en-US" w:eastAsia="zh-CN"/>
        </w:rPr>
        <w:t>0万元。</w:t>
      </w:r>
    </w:p>
    <w:p>
      <w:pPr>
        <w:pStyle w:val="8"/>
        <w:keepNext w:val="0"/>
        <w:keepLines w:val="0"/>
        <w:pageBreakBefore w:val="0"/>
        <w:numPr>
          <w:ilvl w:val="0"/>
          <w:numId w:val="2"/>
        </w:numPr>
        <w:kinsoku/>
        <w:wordWrap/>
        <w:overflowPunct/>
        <w:topLinePunct w:val="0"/>
        <w:autoSpaceDE/>
        <w:autoSpaceDN/>
        <w:bidi w:val="0"/>
        <w:adjustRightInd/>
        <w:snapToGrid/>
        <w:spacing w:beforeLines="0" w:afterLines="0" w:line="500" w:lineRule="exact"/>
        <w:ind w:left="0" w:leftChars="0"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2018年</w:t>
      </w:r>
      <w:r>
        <w:rPr>
          <w:rFonts w:hint="eastAsia" w:ascii="仿宋_GB2312" w:eastAsia="仿宋_GB2312"/>
          <w:color w:val="000000"/>
          <w:sz w:val="32"/>
          <w:szCs w:val="32"/>
          <w:highlight w:val="none"/>
          <w:lang w:eastAsia="zh-CN"/>
        </w:rPr>
        <w:t>衢州学院各单位政府采购预算总额</w:t>
      </w:r>
      <w:r>
        <w:rPr>
          <w:rFonts w:hint="eastAsia" w:ascii="仿宋_GB2312" w:eastAsia="仿宋_GB2312"/>
          <w:color w:val="000000"/>
          <w:sz w:val="32"/>
          <w:szCs w:val="32"/>
          <w:highlight w:val="none"/>
          <w:lang w:val="en-US" w:eastAsia="zh-CN"/>
        </w:rPr>
        <w:t>2349.77万元，其中：政府采购货物预算2349.77 万元、政府采购工程预算0万元、政府采购服务预算0万元。</w:t>
      </w:r>
    </w:p>
    <w:p>
      <w:pPr>
        <w:pStyle w:val="8"/>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r>
        <w:rPr>
          <w:rFonts w:hint="eastAsia" w:ascii="仿宋_GB2312" w:eastAsia="仿宋_GB2312"/>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截至2017年12月31日，</w:t>
      </w:r>
      <w:r>
        <w:rPr>
          <w:rFonts w:hint="eastAsia" w:ascii="仿宋_GB2312" w:hAnsi="仿宋_GB2312" w:eastAsia="仿宋_GB2312" w:cs="仿宋_GB2312"/>
          <w:color w:val="auto"/>
          <w:spacing w:val="6"/>
          <w:sz w:val="32"/>
          <w:szCs w:val="32"/>
          <w:highlight w:val="none"/>
          <w:lang w:eastAsia="zh-CN"/>
        </w:rPr>
        <w:t>衢州学院共有车辆</w:t>
      </w:r>
      <w:r>
        <w:rPr>
          <w:rFonts w:hint="eastAsia" w:ascii="仿宋_GB2312" w:hAnsi="仿宋_GB2312" w:eastAsia="仿宋_GB2312" w:cs="仿宋_GB2312"/>
          <w:color w:val="auto"/>
          <w:spacing w:val="6"/>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辆，其中，应急机要通信用车0辆、一般执法执勤用车0辆、行政执法专用车0辆、特种专业技术用车0辆、老干部服务用车0辆、其他用车9辆。单位价值200万元以上大型设备1台（套）。</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2018年部门预算未安排购置车辆及单位价值200万元以上大型设备。</w:t>
      </w:r>
    </w:p>
    <w:p>
      <w:pPr>
        <w:pStyle w:val="8"/>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4.绩效目标设置情况。</w:t>
      </w:r>
    </w:p>
    <w:p>
      <w:pPr>
        <w:pStyle w:val="8"/>
        <w:keepNext w:val="0"/>
        <w:keepLines w:val="0"/>
        <w:pageBreakBefore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 xml:space="preserve">    2018年</w:t>
      </w:r>
      <w:r>
        <w:rPr>
          <w:rFonts w:hint="eastAsia" w:ascii="仿宋_GB2312" w:eastAsia="仿宋_GB2312"/>
          <w:color w:val="000000"/>
          <w:sz w:val="32"/>
          <w:szCs w:val="32"/>
          <w:highlight w:val="none"/>
          <w:lang w:eastAsia="zh-CN"/>
        </w:rPr>
        <w:t>衢州学院项目支出均实行绩效目标管理，涉及一般公共预算当年拨款</w:t>
      </w:r>
      <w:r>
        <w:rPr>
          <w:rFonts w:hint="eastAsia" w:ascii="仿宋_GB2312" w:eastAsia="仿宋_GB2312"/>
          <w:color w:val="000000"/>
          <w:sz w:val="32"/>
          <w:szCs w:val="32"/>
          <w:highlight w:val="none"/>
          <w:lang w:val="en-US" w:eastAsia="zh-CN"/>
        </w:rPr>
        <w:t>13645.76万元。</w:t>
      </w:r>
    </w:p>
    <w:p>
      <w:pPr>
        <w:pStyle w:val="8"/>
        <w:keepNext w:val="0"/>
        <w:keepLines w:val="0"/>
        <w:pageBreakBefore w:val="0"/>
        <w:numPr>
          <w:ilvl w:val="0"/>
          <w:numId w:val="3"/>
        </w:numPr>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Style w:val="6"/>
          <w:rFonts w:hint="eastAsia" w:ascii="黑体" w:hAnsi="黑体" w:eastAsia="黑体" w:cs="黑体"/>
          <w:b w:val="0"/>
          <w:bCs w:val="0"/>
          <w:sz w:val="32"/>
          <w:szCs w:val="32"/>
          <w:highlight w:val="none"/>
        </w:rPr>
      </w:pPr>
      <w:r>
        <w:rPr>
          <w:rStyle w:val="6"/>
          <w:rFonts w:hint="eastAsia" w:ascii="黑体" w:hAnsi="黑体" w:eastAsia="黑体" w:cs="黑体"/>
          <w:b w:val="0"/>
          <w:bCs w:val="0"/>
          <w:sz w:val="32"/>
          <w:szCs w:val="32"/>
          <w:highlight w:val="none"/>
        </w:rPr>
        <w:t>名词解释</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ascii="仿宋_GB2312" w:eastAsia="仿宋_GB2312"/>
          <w:bCs w:val="0"/>
          <w:color w:val="000000"/>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1.财政拨款收入：</w:t>
      </w:r>
      <w:r>
        <w:rPr>
          <w:rFonts w:hint="eastAsia" w:ascii="仿宋_GB2312" w:hAnsi="Calibri" w:eastAsia="仿宋_GB2312"/>
          <w:sz w:val="32"/>
          <w:szCs w:val="32"/>
          <w:highlight w:val="none"/>
        </w:rPr>
        <w:t>本级财政部门当年拨付的财政预算资金，包括一般公共预算财政拨款和政府性基金预算财政拨款。</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ascii="仿宋_GB2312" w:hAnsi="Calibri" w:eastAsia="仿宋_GB2312"/>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2.专户资金:</w:t>
      </w:r>
      <w:r>
        <w:rPr>
          <w:rFonts w:hint="eastAsia" w:ascii="仿宋_GB2312" w:eastAsia="仿宋_GB2312"/>
          <w:bCs w:val="0"/>
          <w:color w:val="000000"/>
          <w:sz w:val="32"/>
          <w:szCs w:val="32"/>
          <w:highlight w:val="none"/>
          <w:lang w:eastAsia="zh-CN"/>
        </w:rPr>
        <w:t>教育收费</w:t>
      </w:r>
      <w:r>
        <w:rPr>
          <w:rFonts w:hint="eastAsia" w:ascii="仿宋_GB2312" w:eastAsia="仿宋_GB2312"/>
          <w:sz w:val="32"/>
          <w:szCs w:val="32"/>
          <w:highlight w:val="none"/>
        </w:rPr>
        <w:t>作为本部门的事业收入，纳入财政专户管理的资金。</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ascii="仿宋_GB2312" w:hAnsi="Calibri" w:eastAsia="仿宋_GB2312"/>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3.事业收入：</w:t>
      </w:r>
      <w:r>
        <w:rPr>
          <w:rFonts w:hint="eastAsia" w:ascii="仿宋_GB2312" w:hAnsi="Calibri" w:eastAsia="仿宋_GB2312"/>
          <w:sz w:val="32"/>
          <w:szCs w:val="32"/>
          <w:highlight w:val="none"/>
        </w:rPr>
        <w:t>事业单位开展专业业务活动及辅助活动所取得的收入，不含专户资金收入。</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ascii="仿宋_GB2312" w:hAnsi="Calibri" w:eastAsia="仿宋_GB2312"/>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4.事业单位经营收入：</w:t>
      </w:r>
      <w:r>
        <w:rPr>
          <w:rFonts w:hint="eastAsia" w:ascii="仿宋_GB2312" w:hAnsi="Calibri" w:eastAsia="仿宋_GB2312"/>
          <w:sz w:val="32"/>
          <w:szCs w:val="32"/>
          <w:highlight w:val="none"/>
        </w:rPr>
        <w:t>事业单位在专业业务活动及辅助活动之外开展非独立核算经营活动取得的收入。</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ascii="仿宋_GB2312" w:eastAsia="仿宋_GB2312"/>
          <w:bCs w:val="0"/>
          <w:color w:val="000000"/>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5.其他收入：</w:t>
      </w:r>
      <w:r>
        <w:rPr>
          <w:rFonts w:hint="eastAsia" w:ascii="仿宋_GB2312" w:hAnsi="Calibri" w:eastAsia="仿宋_GB2312"/>
          <w:sz w:val="32"/>
          <w:szCs w:val="32"/>
          <w:highlight w:val="none"/>
        </w:rPr>
        <w:t>预算单位在“</w:t>
      </w:r>
      <w:r>
        <w:rPr>
          <w:rFonts w:hint="eastAsia" w:ascii="仿宋_GB2312" w:eastAsia="仿宋_GB2312"/>
          <w:sz w:val="32"/>
          <w:szCs w:val="32"/>
          <w:highlight w:val="none"/>
          <w:lang w:eastAsia="zh-CN"/>
        </w:rPr>
        <w:t>一般公共预算”“政府性基金”</w:t>
      </w:r>
      <w:r>
        <w:rPr>
          <w:rFonts w:hint="eastAsia" w:ascii="仿宋_GB2312" w:hAnsi="Calibri" w:eastAsia="仿宋_GB2312"/>
          <w:sz w:val="32"/>
          <w:szCs w:val="32"/>
          <w:highlight w:val="none"/>
        </w:rPr>
        <w:t>、</w:t>
      </w:r>
      <w:r>
        <w:rPr>
          <w:rFonts w:hint="eastAsia" w:ascii="仿宋_GB2312" w:eastAsia="仿宋_GB2312"/>
          <w:sz w:val="32"/>
          <w:szCs w:val="32"/>
          <w:highlight w:val="none"/>
          <w:lang w:eastAsia="zh-CN"/>
        </w:rPr>
        <w:t>“专户资金”、“</w:t>
      </w:r>
      <w:r>
        <w:rPr>
          <w:rFonts w:hint="eastAsia" w:ascii="仿宋_GB2312" w:hAnsi="Calibri" w:eastAsia="仿宋_GB2312"/>
          <w:sz w:val="32"/>
          <w:szCs w:val="32"/>
          <w:highlight w:val="none"/>
        </w:rPr>
        <w:t>事业收入</w:t>
      </w:r>
      <w:r>
        <w:rPr>
          <w:rFonts w:hint="eastAsia" w:ascii="仿宋_GB2312" w:eastAsia="仿宋_GB2312"/>
          <w:sz w:val="32"/>
          <w:szCs w:val="32"/>
          <w:highlight w:val="none"/>
          <w:lang w:eastAsia="zh-CN"/>
        </w:rPr>
        <w:t>”</w:t>
      </w:r>
      <w:r>
        <w:rPr>
          <w:rFonts w:hint="eastAsia" w:ascii="仿宋_GB2312" w:hAnsi="Calibri" w:eastAsia="仿宋_GB2312"/>
          <w:sz w:val="32"/>
          <w:szCs w:val="32"/>
          <w:highlight w:val="none"/>
        </w:rPr>
        <w:t>、</w:t>
      </w:r>
      <w:r>
        <w:rPr>
          <w:rFonts w:hint="eastAsia" w:ascii="仿宋_GB2312" w:eastAsia="仿宋_GB2312"/>
          <w:sz w:val="32"/>
          <w:szCs w:val="32"/>
          <w:highlight w:val="none"/>
          <w:lang w:eastAsia="zh-CN"/>
        </w:rPr>
        <w:t>“事业单位</w:t>
      </w:r>
      <w:r>
        <w:rPr>
          <w:rFonts w:hint="eastAsia" w:ascii="仿宋_GB2312" w:hAnsi="Calibri" w:eastAsia="仿宋_GB2312"/>
          <w:sz w:val="32"/>
          <w:szCs w:val="32"/>
          <w:highlight w:val="none"/>
        </w:rPr>
        <w:t>经营收入”等之外取得的各项收入（含上级补助收入和附属单位缴款等收入）。</w:t>
      </w:r>
    </w:p>
    <w:p>
      <w:pPr>
        <w:pStyle w:val="8"/>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textAlignment w:val="auto"/>
        <w:outlineLvl w:val="9"/>
        <w:rPr>
          <w:rFonts w:hint="eastAsia" w:eastAsia="仿宋_GB2312"/>
          <w:sz w:val="32"/>
          <w:szCs w:val="32"/>
          <w:highlight w:val="none"/>
        </w:rPr>
      </w:pPr>
      <w:r>
        <w:rPr>
          <w:rFonts w:hint="eastAsia" w:ascii="仿宋_GB2312" w:eastAsia="仿宋_GB2312"/>
          <w:bCs w:val="0"/>
          <w:color w:val="000000"/>
          <w:sz w:val="32"/>
          <w:szCs w:val="32"/>
          <w:highlight w:val="none"/>
          <w:lang w:val="en-US" w:eastAsia="zh-CN"/>
        </w:rPr>
        <w:t xml:space="preserve">    </w:t>
      </w:r>
      <w:r>
        <w:rPr>
          <w:rFonts w:hint="eastAsia" w:ascii="仿宋_GB2312" w:eastAsia="仿宋_GB2312"/>
          <w:bCs w:val="0"/>
          <w:color w:val="000000"/>
          <w:sz w:val="32"/>
          <w:szCs w:val="32"/>
          <w:highlight w:val="none"/>
        </w:rPr>
        <w:t>6.用事业基金弥补收支差额：指事业单位在预计用当年的“财政拨款收入”、“专户资金”、“事业收入”、“事业单位经营收入”、“其他收入”、“上年结转”等不足以安排当</w:t>
      </w:r>
      <w:r>
        <w:rPr>
          <w:rFonts w:hint="eastAsia" w:ascii="仿宋_GB2312" w:eastAsia="仿宋_GB2312"/>
          <w:bCs/>
          <w:color w:val="000000"/>
          <w:sz w:val="30"/>
          <w:szCs w:val="30"/>
          <w:highlight w:val="none"/>
        </w:rPr>
        <w:t>年支出的情况下，使</w:t>
      </w:r>
      <w:r>
        <w:rPr>
          <w:rFonts w:eastAsia="仿宋_GB2312"/>
          <w:sz w:val="32"/>
          <w:szCs w:val="32"/>
          <w:highlight w:val="none"/>
        </w:rPr>
        <w:t>用</w:t>
      </w:r>
      <w:r>
        <w:rPr>
          <w:rFonts w:hint="eastAsia" w:eastAsia="仿宋_GB2312"/>
          <w:sz w:val="32"/>
          <w:szCs w:val="32"/>
          <w:highlight w:val="none"/>
        </w:rPr>
        <w:t>以前年度积累的</w:t>
      </w:r>
      <w:r>
        <w:rPr>
          <w:rFonts w:eastAsia="仿宋_GB2312"/>
          <w:sz w:val="32"/>
          <w:szCs w:val="32"/>
          <w:highlight w:val="none"/>
        </w:rPr>
        <w:t>事业基金弥补本年收支</w:t>
      </w:r>
      <w:r>
        <w:rPr>
          <w:rFonts w:hint="eastAsia" w:eastAsia="仿宋_GB2312"/>
          <w:sz w:val="32"/>
          <w:szCs w:val="32"/>
          <w:highlight w:val="none"/>
        </w:rPr>
        <w:t>缺口的资金。</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textAlignment w:val="auto"/>
        <w:outlineLvl w:val="9"/>
        <w:rPr>
          <w:rFonts w:hint="eastAsia" w:eastAsia="仿宋_GB2312"/>
          <w:sz w:val="32"/>
          <w:szCs w:val="32"/>
          <w:highlight w:val="none"/>
        </w:rPr>
      </w:pPr>
      <w:r>
        <w:rPr>
          <w:rFonts w:hint="eastAsia" w:ascii="仿宋_GB2312" w:eastAsia="仿宋_GB2312"/>
          <w:bCs/>
          <w:color w:val="000000"/>
          <w:sz w:val="32"/>
          <w:szCs w:val="32"/>
          <w:highlight w:val="none"/>
        </w:rPr>
        <w:t>7.</w:t>
      </w:r>
      <w:r>
        <w:rPr>
          <w:rFonts w:hint="eastAsia" w:eastAsia="仿宋_GB2312"/>
          <w:sz w:val="32"/>
          <w:szCs w:val="32"/>
          <w:highlight w:val="none"/>
        </w:rPr>
        <w:t>上年结转：指以前年度尚未完成、结转到本年仍按原规定用途继续使用的资金。</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仿宋_GB2312" w:hAnsi="仿宋_GB2312" w:eastAsia="仿宋_GB2312"/>
          <w:sz w:val="32"/>
          <w:highlight w:val="none"/>
        </w:rPr>
      </w:pPr>
      <w:r>
        <w:rPr>
          <w:rFonts w:hint="eastAsia" w:ascii="仿宋_GB2312" w:hAnsi="仿宋_GB2312" w:eastAsia="仿宋_GB2312"/>
          <w:sz w:val="32"/>
          <w:highlight w:val="none"/>
        </w:rPr>
        <w:t>8.基本支出：是预算单位为保障其正常运转，完成日常工作任务所发生的支出，包括人员支出和日常公用支出。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jc w:val="left"/>
        <w:textAlignment w:val="auto"/>
        <w:outlineLvl w:val="9"/>
        <w:rPr>
          <w:rFonts w:hint="eastAsia" w:ascii="仿宋_GB2312" w:hAnsi="仿宋_GB2312" w:eastAsia="仿宋_GB2312"/>
          <w:sz w:val="32"/>
          <w:highlight w:val="none"/>
        </w:rPr>
      </w:pPr>
      <w:r>
        <w:rPr>
          <w:rFonts w:hint="eastAsia" w:ascii="仿宋_GB2312" w:hAnsi="仿宋_GB2312" w:eastAsia="仿宋_GB2312"/>
          <w:sz w:val="32"/>
          <w:highlight w:val="none"/>
        </w:rPr>
        <w:t>9.项目支出：是预算单位为完成其特定的行政工作任务或事业发展目标所发生的支出。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bCs/>
          <w:color w:val="000000"/>
          <w:sz w:val="32"/>
          <w:szCs w:val="32"/>
        </w:rPr>
      </w:pPr>
      <w:r>
        <w:rPr>
          <w:rFonts w:hint="eastAsia" w:ascii="仿宋_GB2312" w:hAnsi="仿宋_GB2312" w:eastAsia="仿宋_GB2312"/>
          <w:sz w:val="32"/>
        </w:rPr>
        <w:t>10.</w:t>
      </w:r>
      <w:r>
        <w:rPr>
          <w:rFonts w:hint="eastAsia" w:ascii="仿宋_GB2312" w:eastAsia="仿宋_GB2312"/>
          <w:bCs/>
          <w:color w:val="000000"/>
          <w:sz w:val="32"/>
          <w:szCs w:val="32"/>
        </w:rPr>
        <w:t xml:space="preserve"> 上缴上级支出：指预算单位按照省以上文件规定要求，按照规定比例上缴上级单位的支出。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bCs/>
          <w:color w:val="000000"/>
          <w:sz w:val="32"/>
          <w:szCs w:val="32"/>
        </w:rPr>
      </w:pPr>
      <w:r>
        <w:rPr>
          <w:rFonts w:hint="eastAsia" w:ascii="仿宋_GB2312" w:hAnsi="仿宋_GB2312" w:eastAsia="仿宋_GB2312"/>
          <w:sz w:val="32"/>
        </w:rPr>
        <w:t>11.</w:t>
      </w:r>
      <w:r>
        <w:rPr>
          <w:rFonts w:hint="eastAsia" w:ascii="仿宋_GB2312" w:eastAsia="仿宋_GB2312"/>
          <w:color w:val="000000"/>
          <w:sz w:val="32"/>
          <w:szCs w:val="32"/>
        </w:rPr>
        <w:t xml:space="preserve"> 教育支出</w:t>
      </w:r>
      <w:r>
        <w:rPr>
          <w:rFonts w:hint="eastAsia" w:ascii="仿宋_GB2312" w:eastAsia="仿宋_GB2312"/>
          <w:bCs/>
          <w:color w:val="000000"/>
          <w:sz w:val="32"/>
          <w:szCs w:val="32"/>
        </w:rPr>
        <w:t>（类）</w:t>
      </w:r>
      <w:r>
        <w:rPr>
          <w:rFonts w:hint="eastAsia" w:ascii="仿宋_GB2312" w:eastAsia="仿宋_GB2312"/>
          <w:color w:val="000000"/>
          <w:sz w:val="32"/>
          <w:szCs w:val="32"/>
        </w:rPr>
        <w:t>普通教育</w:t>
      </w:r>
      <w:r>
        <w:rPr>
          <w:rFonts w:hint="eastAsia" w:ascii="仿宋_GB2312" w:eastAsia="仿宋_GB2312"/>
          <w:bCs/>
          <w:color w:val="000000"/>
          <w:sz w:val="32"/>
          <w:szCs w:val="32"/>
        </w:rPr>
        <w:t>（款）高等教育（项）：反映经国家批准设立的中央和省、自治区、直辖市各部门所属的全日制普通高等院校（包括研究生）的支出。政府各部门对社会中介组织等举办的各类高等院校的资助，如捐赠、补贴等，也在本科目中反映。</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bCs/>
          <w:color w:val="000000"/>
          <w:sz w:val="32"/>
          <w:szCs w:val="32"/>
        </w:rPr>
      </w:pPr>
      <w:r>
        <w:rPr>
          <w:rFonts w:hint="eastAsia" w:ascii="仿宋_GB2312" w:hAnsi="仿宋_GB2312" w:eastAsia="仿宋_GB2312"/>
          <w:sz w:val="32"/>
        </w:rPr>
        <w:t>12.</w:t>
      </w:r>
      <w:r>
        <w:rPr>
          <w:rFonts w:hint="eastAsia" w:ascii="仿宋_GB2312" w:eastAsia="仿宋_GB2312"/>
          <w:color w:val="000000"/>
          <w:sz w:val="32"/>
          <w:szCs w:val="32"/>
        </w:rPr>
        <w:t xml:space="preserve"> 教育支出</w:t>
      </w:r>
      <w:r>
        <w:rPr>
          <w:rFonts w:hint="eastAsia" w:ascii="仿宋_GB2312" w:eastAsia="仿宋_GB2312"/>
          <w:bCs/>
          <w:color w:val="000000"/>
          <w:sz w:val="32"/>
          <w:szCs w:val="32"/>
        </w:rPr>
        <w:t>（类）</w:t>
      </w:r>
      <w:r>
        <w:rPr>
          <w:rFonts w:hint="eastAsia" w:ascii="仿宋_GB2312" w:eastAsia="仿宋_GB2312"/>
          <w:color w:val="000000"/>
          <w:sz w:val="32"/>
          <w:szCs w:val="32"/>
        </w:rPr>
        <w:t>教育费附加安排的支出</w:t>
      </w:r>
      <w:r>
        <w:rPr>
          <w:rFonts w:hint="eastAsia" w:ascii="仿宋_GB2312" w:eastAsia="仿宋_GB2312"/>
          <w:bCs/>
          <w:color w:val="000000"/>
          <w:sz w:val="32"/>
          <w:szCs w:val="32"/>
        </w:rPr>
        <w:t>（款）</w:t>
      </w:r>
      <w:r>
        <w:rPr>
          <w:rFonts w:hint="eastAsia" w:ascii="仿宋_GB2312" w:eastAsia="仿宋_GB2312"/>
          <w:color w:val="000000"/>
          <w:sz w:val="32"/>
          <w:szCs w:val="32"/>
        </w:rPr>
        <w:t>其他教育费附加安排的支出</w:t>
      </w:r>
      <w:r>
        <w:rPr>
          <w:rFonts w:hint="eastAsia" w:ascii="仿宋_GB2312" w:eastAsia="仿宋_GB2312"/>
          <w:bCs/>
          <w:color w:val="000000"/>
          <w:sz w:val="32"/>
          <w:szCs w:val="32"/>
        </w:rPr>
        <w:t>（项）：反映除中小学校舍建设、中小学教学设施、中等职业学校教学设施项目以外用教育费附加安排的支出。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bCs/>
          <w:color w:val="000000"/>
          <w:sz w:val="32"/>
          <w:szCs w:val="32"/>
        </w:rPr>
        <w:t>13.</w:t>
      </w:r>
      <w:r>
        <w:rPr>
          <w:rFonts w:hint="eastAsia" w:ascii="仿宋_GB2312" w:eastAsia="仿宋_GB2312"/>
          <w:color w:val="000000"/>
          <w:sz w:val="32"/>
          <w:szCs w:val="32"/>
        </w:rPr>
        <w:t xml:space="preserve"> 科学技术支出（类）</w:t>
      </w:r>
      <w:r>
        <w:rPr>
          <w:rFonts w:hint="eastAsia" w:ascii="仿宋_GB2312" w:eastAsia="仿宋_GB2312"/>
          <w:sz w:val="32"/>
          <w:szCs w:val="32"/>
        </w:rPr>
        <w:t>技术与研究开发</w:t>
      </w:r>
      <w:r>
        <w:rPr>
          <w:rFonts w:hint="eastAsia" w:ascii="仿宋_GB2312" w:eastAsia="仿宋_GB2312"/>
          <w:color w:val="000000"/>
          <w:sz w:val="32"/>
          <w:szCs w:val="32"/>
        </w:rPr>
        <w:t>（款）</w:t>
      </w:r>
      <w:r>
        <w:rPr>
          <w:rFonts w:hint="eastAsia" w:ascii="仿宋_GB2312" w:eastAsia="仿宋_GB2312"/>
          <w:sz w:val="32"/>
          <w:szCs w:val="32"/>
        </w:rPr>
        <w:t>应用技术研究与开发</w:t>
      </w:r>
      <w:r>
        <w:rPr>
          <w:rFonts w:hint="eastAsia" w:ascii="仿宋_GB2312" w:eastAsia="仿宋_GB2312"/>
          <w:color w:val="000000"/>
          <w:sz w:val="32"/>
          <w:szCs w:val="32"/>
        </w:rPr>
        <w:t>（项）：反映从事技术开发研究和近期可望取得实用价值的专项技术开发研究的支出。</w:t>
      </w: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abstractNum w:abstractNumId="2">
    <w:nsid w:val="5AD5AC29"/>
    <w:multiLevelType w:val="singleLevel"/>
    <w:tmpl w:val="5AD5AC29"/>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402B7"/>
    <w:rsid w:val="034406EB"/>
    <w:rsid w:val="038306FE"/>
    <w:rsid w:val="08D8653C"/>
    <w:rsid w:val="14A3260B"/>
    <w:rsid w:val="14F304D6"/>
    <w:rsid w:val="15786DF5"/>
    <w:rsid w:val="171E3922"/>
    <w:rsid w:val="211B6B42"/>
    <w:rsid w:val="22796750"/>
    <w:rsid w:val="22D53010"/>
    <w:rsid w:val="26416F7B"/>
    <w:rsid w:val="2D2F52D1"/>
    <w:rsid w:val="2E627169"/>
    <w:rsid w:val="367065B6"/>
    <w:rsid w:val="3A2C6DDC"/>
    <w:rsid w:val="3C10035E"/>
    <w:rsid w:val="3CF46896"/>
    <w:rsid w:val="3FE00A2B"/>
    <w:rsid w:val="40F1680B"/>
    <w:rsid w:val="49E40148"/>
    <w:rsid w:val="4E9709F6"/>
    <w:rsid w:val="52867386"/>
    <w:rsid w:val="54EF7B32"/>
    <w:rsid w:val="58F22F74"/>
    <w:rsid w:val="69014CCD"/>
    <w:rsid w:val="6AE77C19"/>
    <w:rsid w:val="6F713E3F"/>
    <w:rsid w:val="73320E19"/>
    <w:rsid w:val="7A8D523E"/>
    <w:rsid w:val="7E74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semiHidden/>
    <w:uiPriority w:val="0"/>
    <w:rPr>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 Char"/>
    <w:basedOn w:val="1"/>
    <w:link w:val="4"/>
    <w:qFormat/>
    <w:uiPriority w:val="0"/>
    <w:rPr>
      <w:szCs w:val="24"/>
    </w:rPr>
  </w:style>
  <w:style w:type="character" w:styleId="6">
    <w:name w:val="Strong"/>
    <w:basedOn w:val="4"/>
    <w:qFormat/>
    <w:uiPriority w:val="0"/>
    <w:rPr>
      <w:b/>
      <w:bCs/>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Administrator</cp:lastModifiedBy>
  <cp:lastPrinted>2018-04-28T02:49:00Z</cp:lastPrinted>
  <dcterms:modified xsi:type="dcterms:W3CDTF">2018-04-28T06:35:01Z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